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0F0" w14:textId="172EFFCB" w:rsidR="00BD61F9" w:rsidRPr="00B42802" w:rsidRDefault="00BD61F9" w:rsidP="0014242A">
      <w:pPr>
        <w:spacing w:before="360" w:line="23" w:lineRule="atLeast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4D20FB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="00C84F59">
        <w:rPr>
          <w:rFonts w:ascii="Arial" w:eastAsia="Times New Roman" w:hAnsi="Arial" w:cs="Arial"/>
          <w:sz w:val="24"/>
          <w:szCs w:val="24"/>
          <w:lang w:val="it-IT" w:eastAsia="pl-PL"/>
        </w:rPr>
        <w:t>6</w:t>
      </w:r>
      <w:r w:rsidR="00CB0F21" w:rsidRPr="00B42802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4D20FB">
        <w:rPr>
          <w:rFonts w:ascii="Arial" w:eastAsia="Times New Roman" w:hAnsi="Arial" w:cs="Arial"/>
          <w:sz w:val="24"/>
          <w:szCs w:val="24"/>
          <w:lang w:val="it-IT" w:eastAsia="pl-PL"/>
        </w:rPr>
        <w:t>0</w:t>
      </w:r>
      <w:r w:rsidR="00BA2737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BA2737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09C77C42" w:rsidR="00BD61F9" w:rsidRPr="00BB6DE2" w:rsidRDefault="00BD61F9" w:rsidP="00023399">
      <w:pPr>
        <w:autoSpaceDE w:val="0"/>
        <w:autoSpaceDN w:val="0"/>
        <w:adjustRightInd w:val="0"/>
        <w:spacing w:before="480" w:after="4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nr </w:t>
      </w:r>
      <w:r w:rsidR="00C84F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ogłoszonego </w:t>
      </w:r>
      <w:r w:rsidR="00A057E6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A057E6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.2023 r. naboru o nr </w:t>
      </w:r>
      <w:r w:rsidR="00237054" w:rsidRPr="00BB6DE2">
        <w:rPr>
          <w:rFonts w:ascii="Arial" w:hAnsi="Arial" w:cs="Arial"/>
          <w:b/>
          <w:bCs/>
          <w:spacing w:val="-3"/>
          <w:sz w:val="24"/>
          <w:szCs w:val="24"/>
        </w:rPr>
        <w:t>FEPD.07.0</w:t>
      </w:r>
      <w:r w:rsidR="00A057E6" w:rsidRPr="00BB6DE2">
        <w:rPr>
          <w:rFonts w:ascii="Arial" w:hAnsi="Arial" w:cs="Arial"/>
          <w:b/>
          <w:bCs/>
          <w:spacing w:val="-3"/>
          <w:sz w:val="24"/>
          <w:szCs w:val="24"/>
        </w:rPr>
        <w:t>2</w:t>
      </w:r>
      <w:r w:rsidR="00237054" w:rsidRPr="00BB6DE2">
        <w:rPr>
          <w:rFonts w:ascii="Arial" w:hAnsi="Arial" w:cs="Arial"/>
          <w:b/>
          <w:bCs/>
          <w:spacing w:val="-3"/>
          <w:sz w:val="24"/>
          <w:szCs w:val="24"/>
        </w:rPr>
        <w:t>-IP.01-001/23</w:t>
      </w:r>
      <w:r w:rsidR="00237054" w:rsidRPr="00BB6DE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237054" w:rsidRPr="00BB6DE2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="00A057E6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057E6" w:rsidRPr="00BB6DE2">
        <w:rPr>
          <w:rFonts w:ascii="Arial" w:hAnsi="Arial" w:cs="Arial"/>
          <w:b/>
          <w:bCs/>
          <w:spacing w:val="-2"/>
          <w:sz w:val="24"/>
          <w:szCs w:val="24"/>
        </w:rPr>
        <w:t>Wspieranie równego dostępu do rynku pracy</w:t>
      </w:r>
      <w:r w:rsidR="00A057E6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Fundusze Europejskie dla Podlaskiego 2021-2027</w:t>
      </w:r>
      <w:r w:rsidR="00237054" w:rsidRPr="00BB6DE2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.</w:t>
      </w:r>
      <w:r w:rsidRPr="00BB6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EBCC543" w14:textId="2DD32E55" w:rsidR="008A43C6" w:rsidRPr="00C84F59" w:rsidRDefault="008A43C6" w:rsidP="00C84F59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="003C39D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="003C39D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3763F3">
        <w:rPr>
          <w:rFonts w:ascii="Arial" w:eastAsia="Times New Roman" w:hAnsi="Arial" w:cs="Arial"/>
          <w:sz w:val="24"/>
          <w:szCs w:val="24"/>
          <w:lang w:val="x-none"/>
        </w:rPr>
        <w:t>,</w:t>
      </w:r>
      <w:r w:rsidRPr="003763F3">
        <w:rPr>
          <w:rFonts w:ascii="Arial" w:eastAsia="Times New Roman" w:hAnsi="Arial" w:cs="Arial"/>
          <w:sz w:val="24"/>
          <w:szCs w:val="24"/>
        </w:rPr>
        <w:t xml:space="preserve"> tj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763F3">
        <w:rPr>
          <w:rFonts w:ascii="Arial" w:eastAsia="Times New Roman" w:hAnsi="Arial" w:cs="Arial"/>
          <w:sz w:val="24"/>
          <w:szCs w:val="24"/>
        </w:rPr>
        <w:t>:</w:t>
      </w:r>
    </w:p>
    <w:p w14:paraId="034EF16D" w14:textId="77777777" w:rsidR="00C84F59" w:rsidRDefault="008A43C6" w:rsidP="009B76B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>W rozdziale 2.</w:t>
      </w:r>
      <w:r w:rsidR="00C84F5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4F59">
        <w:rPr>
          <w:rFonts w:ascii="Arial" w:eastAsia="Times New Roman" w:hAnsi="Arial" w:cs="Arial"/>
          <w:sz w:val="24"/>
          <w:szCs w:val="24"/>
          <w:lang w:eastAsia="pl-PL"/>
        </w:rPr>
        <w:t>Źródła finansowania i kwota środków przeznaczona na nabór:</w:t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01F6A0" w14:textId="2C59E50D" w:rsidR="00C84F59" w:rsidRPr="00C84F59" w:rsidRDefault="00C84F59" w:rsidP="009B76B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113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 1 - 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zmiana kwoty dofinansowania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zapis:</w:t>
      </w:r>
    </w:p>
    <w:p w14:paraId="4D22A62D" w14:textId="22F1A2EF" w:rsidR="00C84F59" w:rsidRPr="00C84F59" w:rsidRDefault="00C84F59" w:rsidP="002C1098">
      <w:pPr>
        <w:pStyle w:val="Akapitzlist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Całkowita kwota środków przeznaczonych na dofinansowanie projektów w ramach naboru wynosi </w:t>
      </w:r>
      <w:r w:rsidRPr="00C84F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10 000 000,00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zł, co stanowi 100 % kwoty dofinansowania, w tym:</w:t>
      </w:r>
    </w:p>
    <w:p w14:paraId="454DDC12" w14:textId="77777777" w:rsidR="00C84F59" w:rsidRPr="00C84F59" w:rsidRDefault="00C84F59" w:rsidP="006C4F6D">
      <w:pPr>
        <w:pStyle w:val="Akapitzlist"/>
        <w:numPr>
          <w:ilvl w:val="0"/>
          <w:numId w:val="26"/>
        </w:numPr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środki EFS+: </w:t>
      </w:r>
      <w:r w:rsidRPr="00C84F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8 947 368,42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zł,</w:t>
      </w:r>
    </w:p>
    <w:p w14:paraId="57008291" w14:textId="6AB36940" w:rsidR="00C84F59" w:rsidRDefault="00C84F59" w:rsidP="006C4F6D">
      <w:pPr>
        <w:pStyle w:val="Akapitzlist"/>
        <w:numPr>
          <w:ilvl w:val="0"/>
          <w:numId w:val="26"/>
        </w:numPr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środki budżetu państwa: </w:t>
      </w:r>
      <w:r w:rsidRPr="00C84F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1 052 631,58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5C81BDF2" w14:textId="51821093" w:rsidR="00C84F59" w:rsidRPr="009B76B1" w:rsidRDefault="00C84F59" w:rsidP="009B76B1">
      <w:pPr>
        <w:ind w:left="11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brzmienie:</w:t>
      </w:r>
    </w:p>
    <w:p w14:paraId="0073D7C5" w14:textId="684021CE" w:rsidR="00C84F59" w:rsidRPr="00C84F59" w:rsidRDefault="00C84F59" w:rsidP="009B76B1">
      <w:pPr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Całkowita kwota środków przeznaczonych na dofinansowanie projektów w ramach naboru wynosi </w:t>
      </w:r>
      <w:r w:rsid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16 162 193,53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zł, co stanowi 100 % kwoty dofinansowania, w tym:</w:t>
      </w:r>
    </w:p>
    <w:p w14:paraId="699AFD33" w14:textId="77777777" w:rsidR="009B76B1" w:rsidRDefault="00C84F59" w:rsidP="009B76B1">
      <w:pPr>
        <w:numPr>
          <w:ilvl w:val="0"/>
          <w:numId w:val="26"/>
        </w:numPr>
        <w:ind w:left="15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środki EFS+: </w:t>
      </w:r>
      <w:r w:rsid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14 460 910,00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zł,</w:t>
      </w:r>
    </w:p>
    <w:p w14:paraId="1C74C266" w14:textId="16C5AA0A" w:rsidR="00C84F59" w:rsidRPr="009B76B1" w:rsidRDefault="00C84F59" w:rsidP="009B76B1">
      <w:pPr>
        <w:numPr>
          <w:ilvl w:val="0"/>
          <w:numId w:val="26"/>
        </w:numPr>
        <w:ind w:left="15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środki budżetu państwa: </w:t>
      </w:r>
      <w:r w:rsidRPr="00C84F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701 283,53</w:t>
      </w:r>
      <w:r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 w:rsidR="009B76B1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2AF56434" w14:textId="1D2F223B" w:rsidR="00C84F59" w:rsidRPr="00C84F59" w:rsidRDefault="009B76B1" w:rsidP="009B76B1">
      <w:pPr>
        <w:pStyle w:val="Akapitzlist"/>
        <w:numPr>
          <w:ilvl w:val="0"/>
          <w:numId w:val="25"/>
        </w:numPr>
        <w:ind w:left="113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 2 - </w:t>
      </w:r>
      <w:r w:rsidR="00C84F59"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zmiana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wysokości alokacji w ramach poszczególnych subregionów – </w:t>
      </w:r>
      <w:r w:rsidRP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C84F59" w:rsidRPr="00C84F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04A75E" w14:textId="4001C29B" w:rsidR="009B76B1" w:rsidRPr="009B76B1" w:rsidRDefault="009B76B1" w:rsidP="009B76B1">
      <w:pPr>
        <w:pStyle w:val="Akapitzlist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64151391"/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9B76B1">
        <w:rPr>
          <w:rFonts w:ascii="Arial" w:eastAsia="Times New Roman" w:hAnsi="Arial" w:cs="Arial"/>
          <w:sz w:val="24"/>
          <w:szCs w:val="24"/>
          <w:lang w:eastAsia="pl-PL"/>
        </w:rPr>
        <w:t>W ramach powyższej kwoty w niniejszym naborze wyodrębniono:</w:t>
      </w:r>
    </w:p>
    <w:p w14:paraId="62957107" w14:textId="77777777" w:rsidR="009B76B1" w:rsidRPr="009B76B1" w:rsidRDefault="009B76B1" w:rsidP="009B76B1">
      <w:pPr>
        <w:pStyle w:val="Akapitzlist"/>
        <w:numPr>
          <w:ilvl w:val="0"/>
          <w:numId w:val="28"/>
        </w:numPr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t>40 % alokacji, tj. 4 000 000,00 zł, przeznaczone jest na objęcie wsparciem osób zamieszkujących subregion białostocki,</w:t>
      </w:r>
    </w:p>
    <w:p w14:paraId="1A1DF602" w14:textId="77777777" w:rsidR="009B76B1" w:rsidRPr="009B76B1" w:rsidRDefault="009B76B1" w:rsidP="009B76B1">
      <w:pPr>
        <w:pStyle w:val="Akapitzlist"/>
        <w:numPr>
          <w:ilvl w:val="0"/>
          <w:numId w:val="28"/>
        </w:numPr>
        <w:ind w:left="1843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t>32 % alokacji, tj. 3 200 000,00 zł, przeznaczone jest na objęcie wsparciem osób zamieszkujących subregion łomżyński,</w:t>
      </w:r>
    </w:p>
    <w:p w14:paraId="0A7363C0" w14:textId="7ED12FCA" w:rsidR="009B76B1" w:rsidRDefault="009B76B1" w:rsidP="009B76B1">
      <w:pPr>
        <w:pStyle w:val="Akapitzlist"/>
        <w:numPr>
          <w:ilvl w:val="0"/>
          <w:numId w:val="29"/>
        </w:numPr>
        <w:ind w:left="1843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t>28 % alokacji, tj. 2 800 000,00 zł, przeznaczone jest na objęcie wsparciem osób zamieszkujących subregion suwalski.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bookmarkEnd w:id="1"/>
    <w:p w14:paraId="4A8F0154" w14:textId="5D3115ED" w:rsidR="009B76B1" w:rsidRPr="009B76B1" w:rsidRDefault="009B76B1" w:rsidP="009B76B1">
      <w:pPr>
        <w:pStyle w:val="Akapitzlist"/>
        <w:spacing w:before="200"/>
        <w:ind w:left="1134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brzmienie:</w:t>
      </w:r>
    </w:p>
    <w:p w14:paraId="7681B2BF" w14:textId="77777777" w:rsidR="009B76B1" w:rsidRPr="009B76B1" w:rsidRDefault="009B76B1" w:rsidP="009B76B1">
      <w:pPr>
        <w:pStyle w:val="Akapitzlist"/>
        <w:autoSpaceDE w:val="0"/>
        <w:autoSpaceDN w:val="0"/>
        <w:adjustRightInd w:val="0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t>„W ramach powyższej kwoty w niniejszym naborze wyodrębniono:</w:t>
      </w:r>
    </w:p>
    <w:p w14:paraId="68B339B4" w14:textId="3FDB06A0" w:rsidR="009B76B1" w:rsidRPr="009B76B1" w:rsidRDefault="009B76B1" w:rsidP="009B76B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40 % alokacji, tj. </w:t>
      </w:r>
      <w:r>
        <w:rPr>
          <w:rFonts w:ascii="Arial" w:eastAsia="Times New Roman" w:hAnsi="Arial" w:cs="Arial"/>
          <w:sz w:val="24"/>
          <w:szCs w:val="24"/>
          <w:lang w:eastAsia="pl-PL"/>
        </w:rPr>
        <w:t>6 464 877,41</w:t>
      </w:r>
      <w:r w:rsidRPr="009B76B1">
        <w:rPr>
          <w:rFonts w:ascii="Arial" w:eastAsia="Times New Roman" w:hAnsi="Arial" w:cs="Arial"/>
          <w:sz w:val="24"/>
          <w:szCs w:val="24"/>
          <w:lang w:eastAsia="pl-PL"/>
        </w:rPr>
        <w:t xml:space="preserve"> zł, przeznaczone jest na objęcie wsparciem osób zamieszkujących subregion białostocki,</w:t>
      </w:r>
    </w:p>
    <w:p w14:paraId="3EB99305" w14:textId="1D95CDAB" w:rsidR="009B76B1" w:rsidRPr="009B76B1" w:rsidRDefault="009B76B1" w:rsidP="009B76B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t xml:space="preserve">32 % alokacji, tj. </w:t>
      </w:r>
      <w:r>
        <w:rPr>
          <w:rFonts w:ascii="Arial" w:eastAsia="Times New Roman" w:hAnsi="Arial" w:cs="Arial"/>
          <w:sz w:val="24"/>
          <w:szCs w:val="24"/>
          <w:lang w:eastAsia="pl-PL"/>
        </w:rPr>
        <w:t>5 171 901,93</w:t>
      </w:r>
      <w:r w:rsidRPr="009B76B1">
        <w:rPr>
          <w:rFonts w:ascii="Arial" w:eastAsia="Times New Roman" w:hAnsi="Arial" w:cs="Arial"/>
          <w:sz w:val="24"/>
          <w:szCs w:val="24"/>
          <w:lang w:eastAsia="pl-PL"/>
        </w:rPr>
        <w:t xml:space="preserve"> zł, przeznaczone jest na objęcie wsparciem osób zamieszkujących subregion łomżyński,</w:t>
      </w:r>
    </w:p>
    <w:p w14:paraId="7049FE7B" w14:textId="3C6B29B4" w:rsidR="009B76B1" w:rsidRPr="009B76B1" w:rsidRDefault="009B76B1" w:rsidP="00A86A9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43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9B76B1">
        <w:rPr>
          <w:rFonts w:ascii="Arial" w:eastAsia="Times New Roman" w:hAnsi="Arial" w:cs="Arial"/>
          <w:sz w:val="24"/>
          <w:szCs w:val="24"/>
          <w:lang w:eastAsia="pl-PL"/>
        </w:rPr>
        <w:t xml:space="preserve">28 % alokacji, tj. </w:t>
      </w:r>
      <w:r>
        <w:rPr>
          <w:rFonts w:ascii="Arial" w:eastAsia="Times New Roman" w:hAnsi="Arial" w:cs="Arial"/>
          <w:sz w:val="24"/>
          <w:szCs w:val="24"/>
          <w:lang w:eastAsia="pl-PL"/>
        </w:rPr>
        <w:t>4 525 414,19</w:t>
      </w:r>
      <w:r w:rsidRPr="009B76B1">
        <w:rPr>
          <w:rFonts w:ascii="Arial" w:eastAsia="Times New Roman" w:hAnsi="Arial" w:cs="Arial"/>
          <w:sz w:val="24"/>
          <w:szCs w:val="24"/>
          <w:lang w:eastAsia="pl-PL"/>
        </w:rPr>
        <w:t xml:space="preserve"> zł, przeznaczone jest na objęcie wsparciem osób zamieszkujących subregion suwalski.”</w:t>
      </w:r>
    </w:p>
    <w:p w14:paraId="06361775" w14:textId="2DF93D1D" w:rsidR="00236382" w:rsidRPr="008269DC" w:rsidRDefault="00236382" w:rsidP="008269D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5D2D">
        <w:rPr>
          <w:rFonts w:ascii="Arial" w:eastAsia="Times New Roman" w:hAnsi="Arial" w:cs="Arial"/>
          <w:sz w:val="24"/>
          <w:szCs w:val="24"/>
          <w:lang w:eastAsia="pl-PL"/>
        </w:rPr>
        <w:t>W rozdziale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6382">
        <w:rPr>
          <w:rFonts w:ascii="Arial" w:eastAsia="Times New Roman" w:hAnsi="Arial" w:cs="Arial"/>
          <w:sz w:val="24"/>
          <w:szCs w:val="24"/>
          <w:lang w:eastAsia="pl-PL"/>
        </w:rPr>
        <w:t xml:space="preserve">3.8 </w:t>
      </w:r>
      <w:bookmarkStart w:id="2" w:name="_Toc144108118"/>
      <w:r w:rsidRPr="00236382">
        <w:rPr>
          <w:rFonts w:ascii="Arial" w:eastAsia="Times New Roman" w:hAnsi="Arial" w:cs="Arial"/>
          <w:sz w:val="24"/>
          <w:szCs w:val="24"/>
          <w:lang w:eastAsia="pl-PL"/>
        </w:rPr>
        <w:t>Efekty realizacji projektu – wskaźniki</w:t>
      </w:r>
      <w:bookmarkEnd w:id="2"/>
      <w:r w:rsidR="008269D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7435CD" w14:textId="77777777" w:rsidR="0089699F" w:rsidRDefault="0089699F" w:rsidP="0089699F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35D2D">
        <w:rPr>
          <w:rFonts w:ascii="Arial" w:eastAsia="Times New Roman" w:hAnsi="Arial" w:cs="Arial"/>
          <w:sz w:val="24"/>
          <w:szCs w:val="24"/>
          <w:lang w:eastAsia="pl-PL"/>
        </w:rPr>
        <w:t>artość docelowa wskaźnika produktu „Liczba osób objętych wsparciem w zakresie równości kobiet i mężczyzn”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została zwiększona </w:t>
      </w:r>
      <w:r w:rsidRPr="008269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5D2D">
        <w:rPr>
          <w:rFonts w:ascii="Arial" w:eastAsia="Times New Roman" w:hAnsi="Arial" w:cs="Arial"/>
          <w:sz w:val="24"/>
          <w:szCs w:val="24"/>
          <w:lang w:eastAsia="pl-PL"/>
        </w:rPr>
        <w:t>895 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69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1 335 osób;</w:t>
      </w:r>
    </w:p>
    <w:p w14:paraId="0540A8E8" w14:textId="77777777" w:rsidR="0089699F" w:rsidRPr="00A35D2D" w:rsidRDefault="0089699F" w:rsidP="002C109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3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docelowa wskaźnika rezultatu „</w:t>
      </w:r>
      <w:r w:rsidRPr="008269DC">
        <w:rPr>
          <w:rFonts w:ascii="Arial" w:eastAsia="Times New Roman" w:hAnsi="Arial" w:cs="Arial"/>
          <w:sz w:val="24"/>
          <w:szCs w:val="24"/>
          <w:lang w:eastAsia="pl-PL"/>
        </w:rPr>
        <w:t>Liczba osób, które uzyskały kwalifikacje po opuszczeniu programu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8269DC">
        <w:rPr>
          <w:rFonts w:ascii="Arial" w:eastAsia="Times New Roman" w:hAnsi="Arial" w:cs="Arial"/>
          <w:sz w:val="24"/>
          <w:szCs w:val="24"/>
          <w:lang w:eastAsia="pl-PL"/>
        </w:rPr>
        <w:t xml:space="preserve">została zwiększona </w:t>
      </w:r>
      <w:r w:rsidRPr="008269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Pr="008269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271</w:t>
      </w:r>
      <w:r w:rsidRPr="008269DC">
        <w:rPr>
          <w:rFonts w:ascii="Arial" w:eastAsia="Times New Roman" w:hAnsi="Arial" w:cs="Arial"/>
          <w:sz w:val="24"/>
          <w:szCs w:val="24"/>
          <w:lang w:eastAsia="pl-PL"/>
        </w:rPr>
        <w:t xml:space="preserve"> osób </w:t>
      </w:r>
      <w:r w:rsidRPr="008269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</w:t>
      </w:r>
      <w:r w:rsidRPr="008269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404</w:t>
      </w:r>
      <w:r w:rsidRPr="008269DC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605476" w14:textId="6F97B960" w:rsidR="008269DC" w:rsidRPr="0089699F" w:rsidRDefault="0089699F" w:rsidP="008269D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14" w:hanging="357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99F">
        <w:rPr>
          <w:rFonts w:ascii="Arial" w:eastAsia="Times New Roman" w:hAnsi="Arial" w:cs="Arial"/>
          <w:sz w:val="24"/>
          <w:szCs w:val="24"/>
          <w:lang w:eastAsia="pl-PL"/>
        </w:rPr>
        <w:t xml:space="preserve">W rozdziale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4.8 Podatek VAT – zmiana wysokości alokacji – </w:t>
      </w:r>
      <w:r w:rsidRPr="008969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zapis:</w:t>
      </w:r>
    </w:p>
    <w:p w14:paraId="1210812A" w14:textId="252D60A5" w:rsidR="0089699F" w:rsidRDefault="0089699F" w:rsidP="0089699F">
      <w:pPr>
        <w:pStyle w:val="Akapitzlist"/>
        <w:autoSpaceDE w:val="0"/>
        <w:autoSpaceDN w:val="0"/>
        <w:adjustRightInd w:val="0"/>
        <w:ind w:left="71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89699F">
        <w:rPr>
          <w:rFonts w:ascii="Arial" w:eastAsia="Times New Roman" w:hAnsi="Arial" w:cs="Arial"/>
          <w:sz w:val="24"/>
          <w:szCs w:val="24"/>
          <w:lang w:eastAsia="pl-PL"/>
        </w:rPr>
        <w:t>Z uwagi na wysokość alokacji w niniejszym konkursie - 10 mln PLN wartość poszczególnych projektów będzie niższa niż 5 mln EURO. W związku</w:t>
      </w:r>
      <w:r w:rsidR="002C10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699F">
        <w:rPr>
          <w:rFonts w:ascii="Arial" w:eastAsia="Times New Roman" w:hAnsi="Arial" w:cs="Arial"/>
          <w:sz w:val="24"/>
          <w:szCs w:val="24"/>
          <w:lang w:eastAsia="pl-PL"/>
        </w:rPr>
        <w:t>z powyższym VAT będzie stanowił wydatek kwalifikowalny.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6BF2A4D3" w14:textId="08171B42" w:rsidR="0089699F" w:rsidRPr="0089699F" w:rsidRDefault="0089699F" w:rsidP="0089699F">
      <w:pPr>
        <w:pStyle w:val="Akapitzlist"/>
        <w:autoSpaceDE w:val="0"/>
        <w:autoSpaceDN w:val="0"/>
        <w:adjustRightInd w:val="0"/>
        <w:ind w:left="714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9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brzmienie:</w:t>
      </w:r>
    </w:p>
    <w:p w14:paraId="21DA5D9B" w14:textId="3DF5F791" w:rsidR="0089699F" w:rsidRPr="0089699F" w:rsidRDefault="0089699F" w:rsidP="0089699F">
      <w:pPr>
        <w:pStyle w:val="Akapitzlist"/>
        <w:ind w:left="71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8969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uwagi na wysokość alokacji w niniejszym konkursie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8969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16 162 193,53</w:t>
      </w:r>
      <w:r w:rsidRPr="008969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PLN wartość poszczególnych projektów będzie niższa niż 5 mln EURO. W związku z powyższym VAT będzie stanowił wydatek kwalifikowalny.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14:paraId="6EBBF4C7" w14:textId="4D122FF5" w:rsidR="008A43C6" w:rsidRPr="0089699F" w:rsidRDefault="008A43C6" w:rsidP="008269D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89699F">
        <w:rPr>
          <w:rFonts w:ascii="Arial" w:eastAsia="Calibri" w:hAnsi="Arial" w:cs="Arial"/>
          <w:sz w:val="24"/>
          <w:szCs w:val="24"/>
        </w:rPr>
        <w:t>Powyższe zmiany zapisów Regulaminu wyboru projektów wynikają z</w:t>
      </w:r>
      <w:r w:rsidR="008269DC" w:rsidRPr="0089699F">
        <w:rPr>
          <w:rFonts w:ascii="Arial" w:eastAsia="Calibri" w:hAnsi="Arial" w:cs="Arial"/>
          <w:sz w:val="24"/>
          <w:szCs w:val="24"/>
        </w:rPr>
        <w:t xml:space="preserve"> podjęcia przez ION decyzji o zwiększeniu kwoty środków przeznaczonych na dofinansowanie projektów w ramach przedmiotowego naboru</w:t>
      </w:r>
      <w:r w:rsidRPr="0089699F">
        <w:rPr>
          <w:rFonts w:ascii="Arial" w:eastAsia="Calibri" w:hAnsi="Arial" w:cs="Arial"/>
          <w:sz w:val="24"/>
          <w:szCs w:val="24"/>
        </w:rPr>
        <w:t xml:space="preserve">. </w:t>
      </w:r>
    </w:p>
    <w:p w14:paraId="7F22C4CD" w14:textId="77777777" w:rsidR="00BB6DE2" w:rsidRDefault="00BB6DE2" w:rsidP="00BB6DE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Ww. zmiana nie powoduje zachwiania konkurencyjności, ponieważ proces podpisywania umowy nie został  jeszcze rozpoczęty.</w:t>
      </w:r>
    </w:p>
    <w:p w14:paraId="09428996" w14:textId="324A8038" w:rsidR="008A43C6" w:rsidRDefault="008A43C6" w:rsidP="003C39DA">
      <w:pPr>
        <w:autoSpaceDE w:val="0"/>
        <w:autoSpaceDN w:val="0"/>
        <w:adjustRightInd w:val="0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uaktualniony w w/w zakresie</w:t>
      </w:r>
      <w:r w:rsidRPr="00AE33ED">
        <w:rPr>
          <w:rFonts w:ascii="Arial" w:eastAsia="Calibri" w:hAnsi="Arial" w:cs="Arial"/>
          <w:sz w:val="24"/>
          <w:szCs w:val="24"/>
        </w:rPr>
        <w:t xml:space="preserve"> Regulamin 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wyboru projektów obowiązujący od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B76B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.04.2024</w:t>
      </w:r>
      <w:r w:rsidRPr="00AE33ED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sectPr w:rsidR="008A43C6" w:rsidSect="008978A4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C6C5" w14:textId="77777777" w:rsidR="008978A4" w:rsidRDefault="008978A4" w:rsidP="004D4C5C">
      <w:pPr>
        <w:spacing w:after="0" w:line="240" w:lineRule="auto"/>
      </w:pPr>
      <w:r>
        <w:separator/>
      </w:r>
    </w:p>
  </w:endnote>
  <w:endnote w:type="continuationSeparator" w:id="0">
    <w:p w14:paraId="49457F6F" w14:textId="77777777" w:rsidR="008978A4" w:rsidRDefault="008978A4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97AC" w14:textId="77777777" w:rsidR="008978A4" w:rsidRDefault="008978A4" w:rsidP="004D4C5C">
      <w:pPr>
        <w:spacing w:after="0" w:line="240" w:lineRule="auto"/>
      </w:pPr>
      <w:r>
        <w:separator/>
      </w:r>
    </w:p>
  </w:footnote>
  <w:footnote w:type="continuationSeparator" w:id="0">
    <w:p w14:paraId="6C4C12F7" w14:textId="77777777" w:rsidR="008978A4" w:rsidRDefault="008978A4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7E3CDD"/>
    <w:multiLevelType w:val="hybridMultilevel"/>
    <w:tmpl w:val="4E1E6366"/>
    <w:lvl w:ilvl="0" w:tplc="A39E6D36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567E"/>
    <w:multiLevelType w:val="hybridMultilevel"/>
    <w:tmpl w:val="D0C47CF0"/>
    <w:lvl w:ilvl="0" w:tplc="827C5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F8611F"/>
    <w:multiLevelType w:val="hybridMultilevel"/>
    <w:tmpl w:val="B4247E2A"/>
    <w:lvl w:ilvl="0" w:tplc="A096290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B274F8"/>
    <w:multiLevelType w:val="hybridMultilevel"/>
    <w:tmpl w:val="8732F388"/>
    <w:lvl w:ilvl="0" w:tplc="3E3E4D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AA6"/>
    <w:multiLevelType w:val="hybridMultilevel"/>
    <w:tmpl w:val="CB3A072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676DAE"/>
    <w:multiLevelType w:val="hybridMultilevel"/>
    <w:tmpl w:val="149E6A38"/>
    <w:lvl w:ilvl="0" w:tplc="827C5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C5512"/>
    <w:multiLevelType w:val="hybridMultilevel"/>
    <w:tmpl w:val="CB3A0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8639E"/>
    <w:multiLevelType w:val="hybridMultilevel"/>
    <w:tmpl w:val="C9D6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2030F"/>
    <w:multiLevelType w:val="hybridMultilevel"/>
    <w:tmpl w:val="CBCE37E0"/>
    <w:lvl w:ilvl="0" w:tplc="8A5C70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576BB"/>
    <w:multiLevelType w:val="hybridMultilevel"/>
    <w:tmpl w:val="D3B0C3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2F350F"/>
    <w:multiLevelType w:val="hybridMultilevel"/>
    <w:tmpl w:val="D4B85162"/>
    <w:lvl w:ilvl="0" w:tplc="04150017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6480BA1"/>
    <w:multiLevelType w:val="hybridMultilevel"/>
    <w:tmpl w:val="1020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23D0"/>
    <w:multiLevelType w:val="hybridMultilevel"/>
    <w:tmpl w:val="55BCA12A"/>
    <w:lvl w:ilvl="0" w:tplc="BECE9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96928100">
    <w:abstractNumId w:val="18"/>
  </w:num>
  <w:num w:numId="2" w16cid:durableId="1874344168">
    <w:abstractNumId w:val="11"/>
  </w:num>
  <w:num w:numId="3" w16cid:durableId="1764689786">
    <w:abstractNumId w:val="0"/>
  </w:num>
  <w:num w:numId="4" w16cid:durableId="1592276808">
    <w:abstractNumId w:val="18"/>
  </w:num>
  <w:num w:numId="5" w16cid:durableId="1979069175">
    <w:abstractNumId w:val="18"/>
  </w:num>
  <w:num w:numId="6" w16cid:durableId="459343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8"/>
  </w:num>
  <w:num w:numId="9" w16cid:durableId="1039742820">
    <w:abstractNumId w:val="17"/>
  </w:num>
  <w:num w:numId="10" w16cid:durableId="833227108">
    <w:abstractNumId w:val="19"/>
  </w:num>
  <w:num w:numId="11" w16cid:durableId="1460218249">
    <w:abstractNumId w:val="19"/>
  </w:num>
  <w:num w:numId="12" w16cid:durableId="604504604">
    <w:abstractNumId w:val="17"/>
  </w:num>
  <w:num w:numId="13" w16cid:durableId="1030960806">
    <w:abstractNumId w:val="1"/>
  </w:num>
  <w:num w:numId="14" w16cid:durableId="1345747920">
    <w:abstractNumId w:val="3"/>
  </w:num>
  <w:num w:numId="15" w16cid:durableId="1975987831">
    <w:abstractNumId w:val="6"/>
  </w:num>
  <w:num w:numId="16" w16cid:durableId="1712921111">
    <w:abstractNumId w:val="12"/>
  </w:num>
  <w:num w:numId="17" w16cid:durableId="245506569">
    <w:abstractNumId w:val="14"/>
  </w:num>
  <w:num w:numId="18" w16cid:durableId="164437809">
    <w:abstractNumId w:val="10"/>
  </w:num>
  <w:num w:numId="19" w16cid:durableId="1261909222">
    <w:abstractNumId w:val="16"/>
  </w:num>
  <w:num w:numId="20" w16cid:durableId="60520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6218610">
    <w:abstractNumId w:val="9"/>
  </w:num>
  <w:num w:numId="22" w16cid:durableId="1987739638">
    <w:abstractNumId w:val="7"/>
  </w:num>
  <w:num w:numId="23" w16cid:durableId="74364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3980432">
    <w:abstractNumId w:val="2"/>
  </w:num>
  <w:num w:numId="25" w16cid:durableId="316887187">
    <w:abstractNumId w:val="13"/>
  </w:num>
  <w:num w:numId="26" w16cid:durableId="279919085">
    <w:abstractNumId w:val="20"/>
  </w:num>
  <w:num w:numId="27" w16cid:durableId="1656300555">
    <w:abstractNumId w:val="15"/>
  </w:num>
  <w:num w:numId="28" w16cid:durableId="1148403215">
    <w:abstractNumId w:val="4"/>
  </w:num>
  <w:num w:numId="29" w16cid:durableId="1323581002">
    <w:abstractNumId w:val="8"/>
  </w:num>
  <w:num w:numId="30" w16cid:durableId="619382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23399"/>
    <w:rsid w:val="00024475"/>
    <w:rsid w:val="00091B49"/>
    <w:rsid w:val="000A1FB8"/>
    <w:rsid w:val="000A78AA"/>
    <w:rsid w:val="000C14AF"/>
    <w:rsid w:val="00110BBC"/>
    <w:rsid w:val="00122864"/>
    <w:rsid w:val="0014242A"/>
    <w:rsid w:val="00146859"/>
    <w:rsid w:val="001576F7"/>
    <w:rsid w:val="001C0C20"/>
    <w:rsid w:val="001C2A18"/>
    <w:rsid w:val="001E740B"/>
    <w:rsid w:val="001F3A72"/>
    <w:rsid w:val="002306BD"/>
    <w:rsid w:val="00233E03"/>
    <w:rsid w:val="00236382"/>
    <w:rsid w:val="00237054"/>
    <w:rsid w:val="00293D87"/>
    <w:rsid w:val="002A056B"/>
    <w:rsid w:val="002C1098"/>
    <w:rsid w:val="00301091"/>
    <w:rsid w:val="00305C7F"/>
    <w:rsid w:val="00357C6B"/>
    <w:rsid w:val="00382987"/>
    <w:rsid w:val="003B3ADF"/>
    <w:rsid w:val="003C39DA"/>
    <w:rsid w:val="003D6485"/>
    <w:rsid w:val="00412B49"/>
    <w:rsid w:val="00435EDE"/>
    <w:rsid w:val="0045777F"/>
    <w:rsid w:val="004624A2"/>
    <w:rsid w:val="00472977"/>
    <w:rsid w:val="00475D1A"/>
    <w:rsid w:val="0047621C"/>
    <w:rsid w:val="00487D3A"/>
    <w:rsid w:val="004C0C5A"/>
    <w:rsid w:val="004C2456"/>
    <w:rsid w:val="004D20FB"/>
    <w:rsid w:val="004D4C5C"/>
    <w:rsid w:val="004E3247"/>
    <w:rsid w:val="00517EAD"/>
    <w:rsid w:val="005260AD"/>
    <w:rsid w:val="005B2F07"/>
    <w:rsid w:val="005B4BC1"/>
    <w:rsid w:val="005C2142"/>
    <w:rsid w:val="005F3761"/>
    <w:rsid w:val="00651AF9"/>
    <w:rsid w:val="00662ED0"/>
    <w:rsid w:val="006A7318"/>
    <w:rsid w:val="006C189A"/>
    <w:rsid w:val="006C4F6D"/>
    <w:rsid w:val="006E0050"/>
    <w:rsid w:val="006F36D0"/>
    <w:rsid w:val="006F392D"/>
    <w:rsid w:val="00747B76"/>
    <w:rsid w:val="00750CDE"/>
    <w:rsid w:val="00771C60"/>
    <w:rsid w:val="007A7921"/>
    <w:rsid w:val="007C6E6E"/>
    <w:rsid w:val="007E3521"/>
    <w:rsid w:val="00806B37"/>
    <w:rsid w:val="008269DC"/>
    <w:rsid w:val="00854AA2"/>
    <w:rsid w:val="008852AC"/>
    <w:rsid w:val="0089699F"/>
    <w:rsid w:val="008978A4"/>
    <w:rsid w:val="008A43C6"/>
    <w:rsid w:val="008C07E6"/>
    <w:rsid w:val="008D3669"/>
    <w:rsid w:val="008D3C9F"/>
    <w:rsid w:val="00926CB8"/>
    <w:rsid w:val="009410FA"/>
    <w:rsid w:val="00962D53"/>
    <w:rsid w:val="00964A19"/>
    <w:rsid w:val="00983C5E"/>
    <w:rsid w:val="009B76B1"/>
    <w:rsid w:val="009C202E"/>
    <w:rsid w:val="009F0CCF"/>
    <w:rsid w:val="009F2401"/>
    <w:rsid w:val="00A0210F"/>
    <w:rsid w:val="00A057E6"/>
    <w:rsid w:val="00A1368B"/>
    <w:rsid w:val="00A35D2D"/>
    <w:rsid w:val="00A40DA4"/>
    <w:rsid w:val="00A51C37"/>
    <w:rsid w:val="00A86A96"/>
    <w:rsid w:val="00AA38AD"/>
    <w:rsid w:val="00AB19BD"/>
    <w:rsid w:val="00AC1222"/>
    <w:rsid w:val="00AE7707"/>
    <w:rsid w:val="00B067A0"/>
    <w:rsid w:val="00B1050A"/>
    <w:rsid w:val="00B23BE6"/>
    <w:rsid w:val="00B42802"/>
    <w:rsid w:val="00B8278F"/>
    <w:rsid w:val="00BA074F"/>
    <w:rsid w:val="00BA2737"/>
    <w:rsid w:val="00BA7BA1"/>
    <w:rsid w:val="00BB53A1"/>
    <w:rsid w:val="00BB6DE2"/>
    <w:rsid w:val="00BC7145"/>
    <w:rsid w:val="00BD61F9"/>
    <w:rsid w:val="00BE6E81"/>
    <w:rsid w:val="00C11E33"/>
    <w:rsid w:val="00C13F46"/>
    <w:rsid w:val="00C416BB"/>
    <w:rsid w:val="00C47782"/>
    <w:rsid w:val="00C815C8"/>
    <w:rsid w:val="00C84F59"/>
    <w:rsid w:val="00C8713B"/>
    <w:rsid w:val="00C93AD3"/>
    <w:rsid w:val="00CB0F21"/>
    <w:rsid w:val="00CD5591"/>
    <w:rsid w:val="00D10AC5"/>
    <w:rsid w:val="00D172D6"/>
    <w:rsid w:val="00D213A0"/>
    <w:rsid w:val="00D46D18"/>
    <w:rsid w:val="00D60387"/>
    <w:rsid w:val="00DA75A7"/>
    <w:rsid w:val="00DC1D73"/>
    <w:rsid w:val="00DD04DE"/>
    <w:rsid w:val="00DE24FD"/>
    <w:rsid w:val="00E014F7"/>
    <w:rsid w:val="00E32EAC"/>
    <w:rsid w:val="00E848AA"/>
    <w:rsid w:val="00E91466"/>
    <w:rsid w:val="00E97703"/>
    <w:rsid w:val="00E97E8E"/>
    <w:rsid w:val="00ED05F9"/>
    <w:rsid w:val="00EE2B58"/>
    <w:rsid w:val="00F11A24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Katarzyna Remża</cp:lastModifiedBy>
  <cp:revision>2</cp:revision>
  <cp:lastPrinted>2024-04-16T08:07:00Z</cp:lastPrinted>
  <dcterms:created xsi:type="dcterms:W3CDTF">2024-04-16T12:08:00Z</dcterms:created>
  <dcterms:modified xsi:type="dcterms:W3CDTF">2024-04-16T12:08:00Z</dcterms:modified>
</cp:coreProperties>
</file>