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67F1" w14:textId="79116294" w:rsidR="00325C8B" w:rsidRPr="00130AE2" w:rsidRDefault="00325C8B" w:rsidP="003A7E78">
      <w:pPr>
        <w:spacing w:before="360" w:after="0" w:line="23" w:lineRule="atLeast"/>
        <w:rPr>
          <w:rFonts w:ascii="Arial" w:hAnsi="Arial" w:cs="Arial"/>
          <w:b/>
          <w:sz w:val="24"/>
          <w:szCs w:val="24"/>
        </w:rPr>
      </w:pPr>
      <w:r w:rsidRPr="00F92D1C">
        <w:rPr>
          <w:rFonts w:ascii="Arial" w:hAnsi="Arial" w:cs="Arial"/>
          <w:b/>
          <w:sz w:val="24"/>
          <w:szCs w:val="24"/>
        </w:rPr>
        <w:t>Załącznik nr</w:t>
      </w:r>
      <w:r w:rsidR="00177CAB">
        <w:rPr>
          <w:rFonts w:ascii="Arial" w:hAnsi="Arial" w:cs="Arial"/>
          <w:b/>
          <w:sz w:val="24"/>
          <w:szCs w:val="24"/>
        </w:rPr>
        <w:t xml:space="preserve"> 11</w:t>
      </w:r>
      <w:r w:rsidRPr="00F92D1C">
        <w:rPr>
          <w:rFonts w:ascii="Arial" w:hAnsi="Arial" w:cs="Arial"/>
          <w:b/>
          <w:sz w:val="24"/>
          <w:szCs w:val="24"/>
        </w:rPr>
        <w:t xml:space="preserve">: </w:t>
      </w:r>
      <w:r w:rsidR="00FD66D3" w:rsidRPr="00F92D1C">
        <w:rPr>
          <w:rFonts w:ascii="Arial" w:hAnsi="Arial" w:cs="Arial"/>
          <w:b/>
          <w:sz w:val="24"/>
          <w:szCs w:val="24"/>
        </w:rPr>
        <w:t xml:space="preserve">Wykaz dopuszczalnych stawek dla towarów i usług </w:t>
      </w:r>
      <w:r w:rsidRPr="00F92D1C">
        <w:rPr>
          <w:rFonts w:ascii="Arial" w:hAnsi="Arial" w:cs="Arial"/>
          <w:b/>
          <w:sz w:val="24"/>
          <w:szCs w:val="24"/>
        </w:rPr>
        <w:t xml:space="preserve">w ramach </w:t>
      </w:r>
      <w:r w:rsidR="00F92D1C" w:rsidRPr="00F92D1C">
        <w:rPr>
          <w:rFonts w:ascii="Arial" w:hAnsi="Arial" w:cs="Arial"/>
          <w:b/>
          <w:sz w:val="24"/>
          <w:szCs w:val="24"/>
        </w:rPr>
        <w:t>naboru</w:t>
      </w:r>
      <w:r w:rsidRPr="00F92D1C">
        <w:rPr>
          <w:rFonts w:ascii="Arial" w:hAnsi="Arial" w:cs="Arial"/>
          <w:b/>
          <w:sz w:val="24"/>
          <w:szCs w:val="24"/>
        </w:rPr>
        <w:t xml:space="preserve"> </w:t>
      </w:r>
      <w:r w:rsidR="00EA4E0A">
        <w:rPr>
          <w:rFonts w:ascii="Arial" w:hAnsi="Arial" w:cs="Arial"/>
          <w:b/>
          <w:sz w:val="24"/>
          <w:szCs w:val="24"/>
        </w:rPr>
        <w:t>o </w:t>
      </w:r>
      <w:r w:rsidRPr="00F92D1C">
        <w:rPr>
          <w:rFonts w:ascii="Arial" w:hAnsi="Arial" w:cs="Arial"/>
          <w:b/>
          <w:sz w:val="24"/>
          <w:szCs w:val="24"/>
        </w:rPr>
        <w:t xml:space="preserve">nr </w:t>
      </w:r>
      <w:r w:rsidR="00F92D1C" w:rsidRPr="00F92D1C">
        <w:rPr>
          <w:rFonts w:ascii="Arial" w:hAnsi="Arial" w:cs="Arial"/>
          <w:b/>
          <w:sz w:val="24"/>
          <w:szCs w:val="24"/>
        </w:rPr>
        <w:t>FEPD.</w:t>
      </w:r>
      <w:r w:rsidR="00F92D1C" w:rsidRPr="00130AE2">
        <w:rPr>
          <w:rFonts w:ascii="Arial" w:hAnsi="Arial" w:cs="Arial"/>
          <w:b/>
          <w:sz w:val="24"/>
          <w:szCs w:val="24"/>
        </w:rPr>
        <w:t>07.0</w:t>
      </w:r>
      <w:r w:rsidR="00C37F7B" w:rsidRPr="00130AE2">
        <w:rPr>
          <w:rFonts w:ascii="Arial" w:hAnsi="Arial" w:cs="Arial"/>
          <w:b/>
          <w:sz w:val="24"/>
          <w:szCs w:val="24"/>
        </w:rPr>
        <w:t>3</w:t>
      </w:r>
      <w:r w:rsidR="00F92D1C" w:rsidRPr="00130AE2">
        <w:rPr>
          <w:rFonts w:ascii="Arial" w:hAnsi="Arial" w:cs="Arial"/>
          <w:b/>
          <w:sz w:val="24"/>
          <w:szCs w:val="24"/>
        </w:rPr>
        <w:t>-IP.01-00</w:t>
      </w:r>
      <w:r w:rsidR="00C37F7B" w:rsidRPr="00130AE2">
        <w:rPr>
          <w:rFonts w:ascii="Arial" w:hAnsi="Arial" w:cs="Arial"/>
          <w:b/>
          <w:sz w:val="24"/>
          <w:szCs w:val="24"/>
        </w:rPr>
        <w:t>2</w:t>
      </w:r>
      <w:r w:rsidR="00F92D1C" w:rsidRPr="00130AE2">
        <w:rPr>
          <w:rFonts w:ascii="Arial" w:hAnsi="Arial" w:cs="Arial"/>
          <w:b/>
          <w:sz w:val="24"/>
          <w:szCs w:val="24"/>
        </w:rPr>
        <w:t>/2</w:t>
      </w:r>
      <w:r w:rsidR="004F1DDF" w:rsidRPr="00130AE2">
        <w:rPr>
          <w:rFonts w:ascii="Arial" w:hAnsi="Arial" w:cs="Arial"/>
          <w:b/>
          <w:sz w:val="24"/>
          <w:szCs w:val="24"/>
        </w:rPr>
        <w:t>4</w:t>
      </w:r>
    </w:p>
    <w:p w14:paraId="7795EF75" w14:textId="77777777" w:rsidR="00F70785" w:rsidRPr="00130AE2" w:rsidRDefault="00F70785" w:rsidP="003A7E78">
      <w:pPr>
        <w:spacing w:after="120" w:line="23" w:lineRule="atLeast"/>
        <w:rPr>
          <w:rFonts w:ascii="Arial" w:hAnsi="Arial" w:cs="Arial"/>
          <w:sz w:val="24"/>
          <w:szCs w:val="24"/>
        </w:rPr>
      </w:pPr>
    </w:p>
    <w:p w14:paraId="687D0DF0" w14:textId="3A64EE9C" w:rsidR="00F92D1C" w:rsidRPr="00171A05" w:rsidRDefault="0071592E" w:rsidP="003A7E78">
      <w:pPr>
        <w:spacing w:after="120" w:line="23" w:lineRule="atLeast"/>
        <w:rPr>
          <w:rFonts w:ascii="Arial" w:hAnsi="Arial" w:cs="Arial"/>
          <w:color w:val="000000" w:themeColor="text1"/>
          <w:sz w:val="24"/>
          <w:szCs w:val="24"/>
        </w:rPr>
      </w:pPr>
      <w:r w:rsidRPr="00171A05">
        <w:rPr>
          <w:rFonts w:ascii="Arial" w:hAnsi="Arial" w:cs="Arial"/>
          <w:color w:val="000000" w:themeColor="text1"/>
          <w:sz w:val="24"/>
          <w:szCs w:val="24"/>
        </w:rPr>
        <w:t xml:space="preserve">Zestawienie cen rynkowych i określenie standardu wydatków w projektach </w:t>
      </w:r>
      <w:r w:rsidR="00F92D1C" w:rsidRPr="00171A05">
        <w:rPr>
          <w:rFonts w:ascii="Arial" w:hAnsi="Arial" w:cs="Arial"/>
          <w:color w:val="000000" w:themeColor="text1"/>
          <w:sz w:val="24"/>
          <w:szCs w:val="24"/>
        </w:rPr>
        <w:t>konkurencyjnych</w:t>
      </w:r>
      <w:r w:rsidRPr="00171A05">
        <w:rPr>
          <w:rFonts w:ascii="Arial" w:hAnsi="Arial" w:cs="Arial"/>
          <w:color w:val="000000" w:themeColor="text1"/>
          <w:sz w:val="24"/>
          <w:szCs w:val="24"/>
        </w:rPr>
        <w:t xml:space="preserve"> realizowanych w ramach Działania </w:t>
      </w:r>
      <w:r w:rsidR="00F92D1C" w:rsidRPr="00171A05">
        <w:rPr>
          <w:rFonts w:ascii="Arial" w:hAnsi="Arial" w:cs="Arial"/>
          <w:color w:val="000000" w:themeColor="text1"/>
          <w:sz w:val="24"/>
          <w:szCs w:val="24"/>
        </w:rPr>
        <w:t>7.</w:t>
      </w:r>
      <w:r w:rsidR="00C37F7B" w:rsidRPr="000717C6">
        <w:rPr>
          <w:rFonts w:ascii="Arial" w:hAnsi="Arial" w:cs="Arial"/>
          <w:color w:val="000000" w:themeColor="text1"/>
          <w:sz w:val="24"/>
          <w:szCs w:val="24"/>
        </w:rPr>
        <w:t xml:space="preserve">3 </w:t>
      </w:r>
      <w:r w:rsidR="00C37F7B" w:rsidRPr="00154592">
        <w:rPr>
          <w:rFonts w:ascii="Arial" w:hAnsi="Arial" w:cs="Arial"/>
          <w:sz w:val="24"/>
          <w:szCs w:val="24"/>
        </w:rPr>
        <w:t>Rozwój kadr regionalnej gospodarki</w:t>
      </w:r>
      <w:r w:rsidRPr="00171A05">
        <w:rPr>
          <w:rFonts w:ascii="Arial" w:hAnsi="Arial" w:cs="Arial"/>
          <w:color w:val="000000" w:themeColor="text1"/>
          <w:sz w:val="24"/>
          <w:szCs w:val="24"/>
        </w:rPr>
        <w:t xml:space="preserve">, </w:t>
      </w:r>
      <w:r w:rsidR="00F92D1C" w:rsidRPr="00171A05">
        <w:rPr>
          <w:rFonts w:ascii="Arial" w:hAnsi="Arial" w:cs="Arial"/>
          <w:color w:val="000000" w:themeColor="text1"/>
          <w:sz w:val="24"/>
          <w:szCs w:val="24"/>
        </w:rPr>
        <w:t>współfinansowan</w:t>
      </w:r>
      <w:r w:rsidR="00FF162F" w:rsidRPr="00171A05">
        <w:rPr>
          <w:rFonts w:ascii="Arial" w:hAnsi="Arial" w:cs="Arial"/>
          <w:color w:val="000000" w:themeColor="text1"/>
          <w:sz w:val="24"/>
          <w:szCs w:val="24"/>
        </w:rPr>
        <w:t>ych</w:t>
      </w:r>
      <w:r w:rsidR="00F92D1C" w:rsidRPr="00171A05">
        <w:rPr>
          <w:rFonts w:ascii="Arial" w:hAnsi="Arial" w:cs="Arial"/>
          <w:color w:val="000000" w:themeColor="text1"/>
          <w:sz w:val="24"/>
          <w:szCs w:val="24"/>
        </w:rPr>
        <w:t xml:space="preserve"> ze środków Europejskiego Funduszu Społecznego Plus w ramach programu Fundusze Europejskie dla Podlaskiego 2021-2027</w:t>
      </w:r>
      <w:r w:rsidR="00F404D9">
        <w:rPr>
          <w:rFonts w:ascii="Arial" w:hAnsi="Arial" w:cs="Arial"/>
          <w:color w:val="000000" w:themeColor="text1"/>
          <w:sz w:val="24"/>
          <w:szCs w:val="24"/>
        </w:rPr>
        <w:t xml:space="preserve"> (dalej FEdP)</w:t>
      </w:r>
      <w:r w:rsidR="00FF162F" w:rsidRPr="00171A05">
        <w:rPr>
          <w:rFonts w:ascii="Arial" w:hAnsi="Arial" w:cs="Arial"/>
          <w:color w:val="000000" w:themeColor="text1"/>
          <w:sz w:val="24"/>
          <w:szCs w:val="24"/>
        </w:rPr>
        <w:t>.</w:t>
      </w:r>
    </w:p>
    <w:p w14:paraId="3AD0E687" w14:textId="4F613EF7" w:rsidR="007F0C63" w:rsidRPr="00F57E00" w:rsidRDefault="0071592E" w:rsidP="003A7E78">
      <w:pPr>
        <w:spacing w:after="120" w:line="23" w:lineRule="atLeast"/>
        <w:rPr>
          <w:rFonts w:ascii="Arial" w:hAnsi="Arial" w:cs="Arial"/>
          <w:color w:val="000000" w:themeColor="text1"/>
          <w:sz w:val="24"/>
          <w:szCs w:val="24"/>
        </w:rPr>
      </w:pPr>
      <w:r w:rsidRPr="00F57E00">
        <w:rPr>
          <w:rFonts w:ascii="Arial" w:hAnsi="Arial" w:cs="Arial"/>
          <w:color w:val="000000" w:themeColor="text1"/>
          <w:sz w:val="24"/>
          <w:szCs w:val="24"/>
        </w:rPr>
        <w:t>Tworząc budżet projektu należy pamiętać o celach EFS</w:t>
      </w:r>
      <w:r w:rsidR="007F0C63" w:rsidRPr="00F57E00">
        <w:rPr>
          <w:rFonts w:ascii="Arial" w:hAnsi="Arial" w:cs="Arial"/>
          <w:color w:val="000000" w:themeColor="text1"/>
          <w:sz w:val="24"/>
          <w:szCs w:val="24"/>
        </w:rPr>
        <w:t>+</w:t>
      </w:r>
      <w:r w:rsidRPr="00F57E00">
        <w:rPr>
          <w:rFonts w:ascii="Arial" w:hAnsi="Arial" w:cs="Arial"/>
          <w:color w:val="000000" w:themeColor="text1"/>
          <w:sz w:val="24"/>
          <w:szCs w:val="24"/>
        </w:rPr>
        <w:t xml:space="preserve"> i </w:t>
      </w:r>
      <w:r w:rsidR="007F0C63" w:rsidRPr="00F57E00">
        <w:rPr>
          <w:rFonts w:ascii="Arial" w:hAnsi="Arial" w:cs="Arial"/>
          <w:color w:val="000000" w:themeColor="text1"/>
          <w:sz w:val="24"/>
          <w:szCs w:val="24"/>
        </w:rPr>
        <w:t>FEdP 2021-2027</w:t>
      </w:r>
      <w:r w:rsidRPr="00F57E00">
        <w:rPr>
          <w:rFonts w:ascii="Arial" w:hAnsi="Arial" w:cs="Arial"/>
          <w:color w:val="000000" w:themeColor="text1"/>
          <w:sz w:val="24"/>
          <w:szCs w:val="24"/>
        </w:rPr>
        <w:t>. EFS</w:t>
      </w:r>
      <w:r w:rsidR="007F0C63" w:rsidRPr="00F57E00">
        <w:rPr>
          <w:rFonts w:ascii="Arial" w:hAnsi="Arial" w:cs="Arial"/>
          <w:color w:val="000000" w:themeColor="text1"/>
          <w:sz w:val="24"/>
          <w:szCs w:val="24"/>
        </w:rPr>
        <w:t>+</w:t>
      </w:r>
      <w:r w:rsidRPr="00F57E00">
        <w:rPr>
          <w:rFonts w:ascii="Arial" w:hAnsi="Arial" w:cs="Arial"/>
          <w:color w:val="000000" w:themeColor="text1"/>
          <w:sz w:val="24"/>
          <w:szCs w:val="24"/>
        </w:rPr>
        <w:t xml:space="preserve"> </w:t>
      </w:r>
      <w:r w:rsidR="007F0C63" w:rsidRPr="00F57E00">
        <w:rPr>
          <w:rFonts w:ascii="Arial" w:hAnsi="Arial" w:cs="Arial"/>
          <w:color w:val="000000" w:themeColor="text1"/>
          <w:sz w:val="24"/>
          <w:szCs w:val="24"/>
        </w:rPr>
        <w:t>wspiera inwestycje w ludzi i systemy w obszarach polityki dotyczących zatrudnienia, kształcenia</w:t>
      </w:r>
      <w:r w:rsidR="003A7E78">
        <w:rPr>
          <w:rFonts w:ascii="Arial" w:hAnsi="Arial" w:cs="Arial"/>
          <w:color w:val="000000" w:themeColor="text1"/>
          <w:sz w:val="24"/>
          <w:szCs w:val="24"/>
        </w:rPr>
        <w:t xml:space="preserve"> </w:t>
      </w:r>
      <w:r w:rsidR="007F0C63" w:rsidRPr="00F57E00">
        <w:rPr>
          <w:rFonts w:ascii="Arial" w:hAnsi="Arial" w:cs="Arial"/>
          <w:color w:val="000000" w:themeColor="text1"/>
          <w:sz w:val="24"/>
          <w:szCs w:val="24"/>
        </w:rPr>
        <w:t>i</w:t>
      </w:r>
      <w:r w:rsidR="003A7E78">
        <w:rPr>
          <w:rFonts w:ascii="Arial" w:hAnsi="Arial" w:cs="Arial"/>
          <w:color w:val="000000" w:themeColor="text1"/>
          <w:sz w:val="24"/>
          <w:szCs w:val="24"/>
        </w:rPr>
        <w:t> </w:t>
      </w:r>
      <w:r w:rsidR="007F0C63" w:rsidRPr="00F57E00">
        <w:rPr>
          <w:rFonts w:ascii="Arial" w:hAnsi="Arial" w:cs="Arial"/>
          <w:color w:val="000000" w:themeColor="text1"/>
          <w:sz w:val="24"/>
          <w:szCs w:val="24"/>
        </w:rPr>
        <w:t>włączenia społecznego</w:t>
      </w:r>
      <w:r w:rsidR="00221186" w:rsidRPr="00F57E00">
        <w:rPr>
          <w:rFonts w:ascii="Arial" w:hAnsi="Arial" w:cs="Arial"/>
          <w:color w:val="000000" w:themeColor="text1"/>
          <w:sz w:val="24"/>
          <w:szCs w:val="24"/>
        </w:rPr>
        <w:t>.</w:t>
      </w:r>
    </w:p>
    <w:p w14:paraId="60779957" w14:textId="72F5D45D" w:rsidR="0071592E" w:rsidRPr="00FF162F" w:rsidRDefault="0071592E" w:rsidP="003A7E78">
      <w:pPr>
        <w:spacing w:after="120" w:line="23" w:lineRule="atLeast"/>
        <w:rPr>
          <w:rFonts w:ascii="Arial" w:hAnsi="Arial" w:cs="Arial"/>
          <w:i/>
          <w:color w:val="000000" w:themeColor="text1"/>
          <w:sz w:val="24"/>
          <w:szCs w:val="24"/>
        </w:rPr>
      </w:pPr>
      <w:r w:rsidRPr="00FF162F">
        <w:rPr>
          <w:rFonts w:ascii="Arial" w:hAnsi="Arial" w:cs="Arial"/>
          <w:color w:val="000000" w:themeColor="text1"/>
          <w:sz w:val="24"/>
          <w:szCs w:val="24"/>
        </w:rPr>
        <w:t>Przedstawion</w:t>
      </w:r>
      <w:r w:rsidR="001A0045">
        <w:rPr>
          <w:rFonts w:ascii="Arial" w:hAnsi="Arial" w:cs="Arial"/>
          <w:color w:val="000000" w:themeColor="text1"/>
          <w:sz w:val="24"/>
          <w:szCs w:val="24"/>
        </w:rPr>
        <w:t xml:space="preserve">y </w:t>
      </w:r>
      <w:r w:rsidR="001A0045" w:rsidRPr="004F1DDF">
        <w:rPr>
          <w:rFonts w:ascii="Arial" w:hAnsi="Arial" w:cs="Arial"/>
          <w:i/>
          <w:iCs/>
          <w:color w:val="000000" w:themeColor="text1"/>
          <w:sz w:val="24"/>
          <w:szCs w:val="24"/>
        </w:rPr>
        <w:t>Wykaz</w:t>
      </w:r>
      <w:r w:rsidR="001A0045">
        <w:rPr>
          <w:rFonts w:ascii="Arial" w:hAnsi="Arial" w:cs="Arial"/>
          <w:color w:val="000000" w:themeColor="text1"/>
          <w:sz w:val="24"/>
          <w:szCs w:val="24"/>
        </w:rPr>
        <w:t xml:space="preserve"> </w:t>
      </w:r>
      <w:r w:rsidRPr="00FF162F">
        <w:rPr>
          <w:rFonts w:ascii="Arial" w:hAnsi="Arial" w:cs="Arial"/>
          <w:color w:val="000000" w:themeColor="text1"/>
          <w:sz w:val="24"/>
          <w:szCs w:val="24"/>
        </w:rPr>
        <w:t>określa koszty najczęściej występujące w projektach, co oznacza, iż przedmiotowy dokument nie stanowi katalogu zamkniętego. Oznacza to, że dopuszcza się ujmowanie w budżecie projektu kosztów, które nie zostały wskazane</w:t>
      </w:r>
      <w:r w:rsidR="003A7E78">
        <w:rPr>
          <w:rFonts w:ascii="Arial" w:hAnsi="Arial" w:cs="Arial"/>
          <w:color w:val="000000" w:themeColor="text1"/>
          <w:sz w:val="24"/>
          <w:szCs w:val="24"/>
        </w:rPr>
        <w:t xml:space="preserve"> </w:t>
      </w:r>
      <w:r w:rsidRPr="00FF162F">
        <w:rPr>
          <w:rFonts w:ascii="Arial" w:hAnsi="Arial" w:cs="Arial"/>
          <w:color w:val="000000" w:themeColor="text1"/>
          <w:sz w:val="24"/>
          <w:szCs w:val="24"/>
        </w:rPr>
        <w:t>w</w:t>
      </w:r>
      <w:r w:rsidR="003A7E78">
        <w:rPr>
          <w:rFonts w:ascii="Arial" w:hAnsi="Arial" w:cs="Arial"/>
          <w:color w:val="000000" w:themeColor="text1"/>
          <w:sz w:val="24"/>
          <w:szCs w:val="24"/>
        </w:rPr>
        <w:t> </w:t>
      </w:r>
      <w:r w:rsidRPr="00FF162F">
        <w:rPr>
          <w:rFonts w:ascii="Arial" w:hAnsi="Arial" w:cs="Arial"/>
          <w:color w:val="000000" w:themeColor="text1"/>
          <w:sz w:val="24"/>
          <w:szCs w:val="24"/>
        </w:rPr>
        <w:t>katalogu. Aplikując o środki należy posługiwać się zaproponowanym standardem, niemniej należy mieć na uwadze fakt stale zmieniającej się sytuacji na rynku pracy. Wszelkie koszty, które nie zostały ujęte w katalogu, powinny zostać należycie oszacowane, być zgodne z cenami rynkowymi oraz spełniać zasady kwalifikowalności.</w:t>
      </w:r>
    </w:p>
    <w:p w14:paraId="6742845B" w14:textId="647DC1DD" w:rsidR="008121FC" w:rsidRPr="000415C9" w:rsidRDefault="005F7367" w:rsidP="003A7E78">
      <w:pPr>
        <w:spacing w:after="120" w:line="23" w:lineRule="atLeast"/>
        <w:rPr>
          <w:rFonts w:ascii="Arial" w:hAnsi="Arial" w:cs="Arial"/>
          <w:color w:val="000000" w:themeColor="text1"/>
          <w:sz w:val="24"/>
          <w:szCs w:val="24"/>
        </w:rPr>
      </w:pPr>
      <w:r w:rsidRPr="000415C9">
        <w:rPr>
          <w:rFonts w:ascii="Arial" w:hAnsi="Arial" w:cs="Arial"/>
          <w:color w:val="000000" w:themeColor="text1"/>
          <w:sz w:val="24"/>
          <w:szCs w:val="24"/>
        </w:rPr>
        <w:t>Stawki</w:t>
      </w:r>
      <w:r w:rsidR="00F5430C" w:rsidRPr="000415C9">
        <w:rPr>
          <w:rStyle w:val="Odwoanieprzypisudolnego"/>
          <w:rFonts w:ascii="Arial" w:hAnsi="Arial" w:cs="Arial"/>
          <w:color w:val="000000" w:themeColor="text1"/>
          <w:sz w:val="24"/>
          <w:szCs w:val="24"/>
        </w:rPr>
        <w:footnoteReference w:id="1"/>
      </w:r>
      <w:r w:rsidRPr="000415C9">
        <w:rPr>
          <w:rFonts w:ascii="Arial" w:hAnsi="Arial" w:cs="Arial"/>
          <w:color w:val="000000" w:themeColor="text1"/>
          <w:sz w:val="24"/>
          <w:szCs w:val="24"/>
        </w:rPr>
        <w:t xml:space="preserve"> </w:t>
      </w:r>
      <w:r w:rsidR="00F33E38" w:rsidRPr="000415C9">
        <w:rPr>
          <w:rFonts w:ascii="Arial" w:hAnsi="Arial" w:cs="Arial"/>
          <w:color w:val="000000" w:themeColor="text1"/>
          <w:sz w:val="24"/>
          <w:szCs w:val="24"/>
        </w:rPr>
        <w:t>ujęte w katalogu są stawkami maksymalnymi (uwzględniającymi wartość brutto wydatku), co</w:t>
      </w:r>
      <w:r w:rsidR="00AF690C" w:rsidRPr="000415C9">
        <w:rPr>
          <w:rFonts w:ascii="Arial" w:hAnsi="Arial" w:cs="Arial"/>
          <w:color w:val="000000" w:themeColor="text1"/>
          <w:sz w:val="24"/>
          <w:szCs w:val="24"/>
        </w:rPr>
        <w:t> </w:t>
      </w:r>
      <w:r w:rsidR="00F33E38" w:rsidRPr="000415C9">
        <w:rPr>
          <w:rFonts w:ascii="Arial" w:hAnsi="Arial" w:cs="Arial"/>
          <w:color w:val="000000" w:themeColor="text1"/>
          <w:sz w:val="24"/>
          <w:szCs w:val="24"/>
        </w:rPr>
        <w:t>jednak nie oznacza automatycznego akceptowania przez oceniających założonych kosztów na ich maksymalnym poziomie. Określenie stawek maksymalnych</w:t>
      </w:r>
      <w:r w:rsidR="003A7E78">
        <w:rPr>
          <w:rFonts w:ascii="Arial" w:hAnsi="Arial" w:cs="Arial"/>
          <w:color w:val="000000" w:themeColor="text1"/>
          <w:sz w:val="24"/>
          <w:szCs w:val="24"/>
        </w:rPr>
        <w:t xml:space="preserve"> </w:t>
      </w:r>
      <w:r w:rsidR="00F33E38" w:rsidRPr="000415C9">
        <w:rPr>
          <w:rFonts w:ascii="Arial" w:hAnsi="Arial" w:cs="Arial"/>
          <w:color w:val="000000" w:themeColor="text1"/>
          <w:sz w:val="24"/>
          <w:szCs w:val="24"/>
        </w:rPr>
        <w:t>nie zwalnia członków Komisji Oceny Projektów z weryfikacji zasadności i racjonalności wszystkich wydatków, również tych mieszczących się poniżej maksymalnego poziomu kosztu ustalonego przez Wojewódzki Urząd Pracy w Białymstoku. Przyjęcie stawki maksymalnej nie oznacza, że będzie ona akceptowana w każdym projekcie, ponieważ podczas oceny będą brane pod uwagę takie czynniki jak np. stopień złożoności projektu, wielkość grupy docelowej, wielkość zespołu projektowego. Fakt wskazania z przedstawionego zestawienia stawki we wniosku o dofinasowanie nie może być podstawą beneficjenta do uzasadnienia wydatku uznanego za niekwalifikowalny na etapie zatwierdzania wniosku o płatność i/lub kontroli (w</w:t>
      </w:r>
      <w:r w:rsidR="00AF690C" w:rsidRPr="000415C9">
        <w:rPr>
          <w:rFonts w:ascii="Arial" w:hAnsi="Arial" w:cs="Arial"/>
          <w:color w:val="000000" w:themeColor="text1"/>
          <w:sz w:val="24"/>
          <w:szCs w:val="24"/>
        </w:rPr>
        <w:t> </w:t>
      </w:r>
      <w:r w:rsidR="00F33E38" w:rsidRPr="000415C9">
        <w:rPr>
          <w:rFonts w:ascii="Arial" w:hAnsi="Arial" w:cs="Arial"/>
          <w:color w:val="000000" w:themeColor="text1"/>
          <w:sz w:val="24"/>
          <w:szCs w:val="24"/>
        </w:rPr>
        <w:t>przypadku gdy wystąpią podstawy</w:t>
      </w:r>
      <w:r w:rsidR="003A7E78">
        <w:rPr>
          <w:rFonts w:ascii="Arial" w:hAnsi="Arial" w:cs="Arial"/>
          <w:color w:val="000000" w:themeColor="text1"/>
          <w:sz w:val="24"/>
          <w:szCs w:val="24"/>
        </w:rPr>
        <w:t xml:space="preserve"> </w:t>
      </w:r>
      <w:r w:rsidR="00F33E38" w:rsidRPr="000415C9">
        <w:rPr>
          <w:rFonts w:ascii="Arial" w:hAnsi="Arial" w:cs="Arial"/>
          <w:color w:val="000000" w:themeColor="text1"/>
          <w:sz w:val="24"/>
          <w:szCs w:val="24"/>
        </w:rPr>
        <w:t>do uznania wydatków za niekwalifikowalne). Należy pamiętać, że Wojewódzki Urząd Pracy w</w:t>
      </w:r>
      <w:r w:rsidR="003A7E78">
        <w:rPr>
          <w:rFonts w:ascii="Arial" w:hAnsi="Arial" w:cs="Arial"/>
          <w:color w:val="000000" w:themeColor="text1"/>
          <w:sz w:val="24"/>
          <w:szCs w:val="24"/>
        </w:rPr>
        <w:t> </w:t>
      </w:r>
      <w:r w:rsidR="00F33E38" w:rsidRPr="000415C9">
        <w:rPr>
          <w:rFonts w:ascii="Arial" w:hAnsi="Arial" w:cs="Arial"/>
          <w:color w:val="000000" w:themeColor="text1"/>
          <w:sz w:val="24"/>
          <w:szCs w:val="24"/>
        </w:rPr>
        <w:t>Białymstoku będzie weryfikował zasadność i racjonalność na poziomie całego projektu, zadań, poszczególnych wydatków, w kontekście wszystkich projektów realizowanych</w:t>
      </w:r>
      <w:r w:rsidR="003A7E78">
        <w:rPr>
          <w:rFonts w:ascii="Arial" w:hAnsi="Arial" w:cs="Arial"/>
          <w:color w:val="000000" w:themeColor="text1"/>
          <w:sz w:val="24"/>
          <w:szCs w:val="24"/>
        </w:rPr>
        <w:t xml:space="preserve"> </w:t>
      </w:r>
      <w:r w:rsidR="00F33E38" w:rsidRPr="000415C9">
        <w:rPr>
          <w:rFonts w:ascii="Arial" w:hAnsi="Arial" w:cs="Arial"/>
          <w:color w:val="000000" w:themeColor="text1"/>
          <w:sz w:val="24"/>
          <w:szCs w:val="24"/>
        </w:rPr>
        <w:t>przez beneficjenta oraz w kontekście  potencjału finansowego, kadrowego i technicznego beneficjenta.</w:t>
      </w:r>
    </w:p>
    <w:p w14:paraId="3B4913E2" w14:textId="32407F9F" w:rsidR="00890480" w:rsidRPr="00F404D9" w:rsidRDefault="00890480" w:rsidP="003A7E78">
      <w:pPr>
        <w:spacing w:after="120" w:line="23" w:lineRule="atLeast"/>
        <w:rPr>
          <w:rFonts w:ascii="Arial" w:hAnsi="Arial" w:cs="Arial"/>
          <w:color w:val="000000" w:themeColor="text1"/>
          <w:sz w:val="24"/>
          <w:szCs w:val="24"/>
        </w:rPr>
      </w:pPr>
      <w:r w:rsidRPr="00F404D9">
        <w:rPr>
          <w:rFonts w:ascii="Arial" w:hAnsi="Arial" w:cs="Arial"/>
          <w:color w:val="000000" w:themeColor="text1"/>
          <w:sz w:val="24"/>
          <w:szCs w:val="24"/>
        </w:rPr>
        <w:t xml:space="preserve">Ocena wydatków ujętych w budżetach projektów dokonywana będzie z perspektywy ich racjonalności </w:t>
      </w:r>
      <w:r w:rsidR="00447081" w:rsidRPr="00F404D9">
        <w:rPr>
          <w:rFonts w:ascii="Arial" w:hAnsi="Arial" w:cs="Arial"/>
          <w:color w:val="000000" w:themeColor="text1"/>
          <w:sz w:val="24"/>
          <w:szCs w:val="24"/>
        </w:rPr>
        <w:t xml:space="preserve">i efektywności </w:t>
      </w:r>
      <w:r w:rsidRPr="00F404D9">
        <w:rPr>
          <w:rFonts w:ascii="Arial" w:hAnsi="Arial" w:cs="Arial"/>
          <w:color w:val="000000" w:themeColor="text1"/>
          <w:sz w:val="24"/>
          <w:szCs w:val="24"/>
        </w:rPr>
        <w:t xml:space="preserve">kosztowej, w szczególności weryfikowane będą: </w:t>
      </w:r>
    </w:p>
    <w:p w14:paraId="7D8C9126" w14:textId="4D229756" w:rsidR="00890480" w:rsidRPr="00F404D9" w:rsidRDefault="00890480" w:rsidP="003A7E78">
      <w:pPr>
        <w:numPr>
          <w:ilvl w:val="0"/>
          <w:numId w:val="6"/>
        </w:numPr>
        <w:spacing w:after="120" w:line="23" w:lineRule="atLeast"/>
        <w:rPr>
          <w:rFonts w:ascii="Arial" w:hAnsi="Arial" w:cs="Arial"/>
          <w:color w:val="000000" w:themeColor="text1"/>
          <w:sz w:val="24"/>
          <w:szCs w:val="24"/>
        </w:rPr>
      </w:pPr>
      <w:r w:rsidRPr="00F404D9">
        <w:rPr>
          <w:rFonts w:ascii="Arial" w:hAnsi="Arial" w:cs="Arial"/>
          <w:color w:val="000000" w:themeColor="text1"/>
          <w:sz w:val="24"/>
          <w:szCs w:val="24"/>
        </w:rPr>
        <w:t>zasadność realizacji poszczególnych zadań przewidzianych w projekcie;</w:t>
      </w:r>
    </w:p>
    <w:p w14:paraId="14A96D06" w14:textId="012A05A1" w:rsidR="00890480" w:rsidRPr="00F404D9" w:rsidRDefault="00890480" w:rsidP="003A7E78">
      <w:pPr>
        <w:numPr>
          <w:ilvl w:val="0"/>
          <w:numId w:val="6"/>
        </w:numPr>
        <w:spacing w:after="120" w:line="23" w:lineRule="atLeast"/>
        <w:rPr>
          <w:rFonts w:ascii="Arial" w:hAnsi="Arial" w:cs="Arial"/>
          <w:color w:val="000000" w:themeColor="text1"/>
          <w:sz w:val="24"/>
          <w:szCs w:val="24"/>
        </w:rPr>
      </w:pPr>
      <w:r w:rsidRPr="00F404D9">
        <w:rPr>
          <w:rFonts w:ascii="Arial" w:hAnsi="Arial" w:cs="Arial"/>
          <w:color w:val="000000" w:themeColor="text1"/>
          <w:sz w:val="24"/>
          <w:szCs w:val="24"/>
        </w:rPr>
        <w:lastRenderedPageBreak/>
        <w:t>proporcjonalność/stosunek wartości poszczególnych zadań przewidzianych w</w:t>
      </w:r>
      <w:r w:rsidR="003A7E78">
        <w:rPr>
          <w:rFonts w:ascii="Arial" w:hAnsi="Arial" w:cs="Arial"/>
          <w:color w:val="000000" w:themeColor="text1"/>
          <w:sz w:val="24"/>
          <w:szCs w:val="24"/>
        </w:rPr>
        <w:t> </w:t>
      </w:r>
      <w:r w:rsidRPr="00F404D9">
        <w:rPr>
          <w:rFonts w:ascii="Arial" w:hAnsi="Arial" w:cs="Arial"/>
          <w:color w:val="000000" w:themeColor="text1"/>
          <w:sz w:val="24"/>
          <w:szCs w:val="24"/>
        </w:rPr>
        <w:t>projekcie do wartości całego budżetu oraz w relacji do zakładanych rezultatów</w:t>
      </w:r>
      <w:r w:rsidR="003A7E78">
        <w:rPr>
          <w:rFonts w:ascii="Arial" w:hAnsi="Arial" w:cs="Arial"/>
          <w:color w:val="000000" w:themeColor="text1"/>
          <w:sz w:val="24"/>
          <w:szCs w:val="24"/>
        </w:rPr>
        <w:t xml:space="preserve"> </w:t>
      </w:r>
      <w:r w:rsidRPr="00F404D9">
        <w:rPr>
          <w:rFonts w:ascii="Arial" w:hAnsi="Arial" w:cs="Arial"/>
          <w:color w:val="000000" w:themeColor="text1"/>
          <w:sz w:val="24"/>
          <w:szCs w:val="24"/>
        </w:rPr>
        <w:t>i</w:t>
      </w:r>
      <w:r w:rsidR="003A7E78">
        <w:rPr>
          <w:rFonts w:ascii="Arial" w:hAnsi="Arial" w:cs="Arial"/>
          <w:color w:val="000000" w:themeColor="text1"/>
          <w:sz w:val="24"/>
          <w:szCs w:val="24"/>
        </w:rPr>
        <w:t> </w:t>
      </w:r>
      <w:r w:rsidRPr="00F404D9">
        <w:rPr>
          <w:rFonts w:ascii="Arial" w:hAnsi="Arial" w:cs="Arial"/>
          <w:color w:val="000000" w:themeColor="text1"/>
          <w:sz w:val="24"/>
          <w:szCs w:val="24"/>
        </w:rPr>
        <w:t xml:space="preserve">efektów (np. poprzez przeliczenie pozycji  budżetu na uczestnika, itp.); </w:t>
      </w:r>
    </w:p>
    <w:p w14:paraId="42C8295D" w14:textId="1BC11051" w:rsidR="00890480" w:rsidRPr="00F404D9" w:rsidRDefault="00890480" w:rsidP="003A7E78">
      <w:pPr>
        <w:numPr>
          <w:ilvl w:val="0"/>
          <w:numId w:val="6"/>
        </w:numPr>
        <w:spacing w:after="120" w:line="23" w:lineRule="atLeast"/>
        <w:rPr>
          <w:rFonts w:ascii="Arial" w:hAnsi="Arial" w:cs="Arial"/>
          <w:color w:val="000000" w:themeColor="text1"/>
          <w:sz w:val="24"/>
          <w:szCs w:val="24"/>
        </w:rPr>
      </w:pPr>
      <w:r w:rsidRPr="00F404D9">
        <w:rPr>
          <w:rFonts w:ascii="Arial" w:hAnsi="Arial" w:cs="Arial"/>
          <w:color w:val="000000" w:themeColor="text1"/>
          <w:sz w:val="24"/>
          <w:szCs w:val="24"/>
        </w:rPr>
        <w:t>czy koszt jednostkowy usługi realizowanej w ramach danego projektu nie odbiega</w:t>
      </w:r>
      <w:r w:rsidR="003A7E78">
        <w:rPr>
          <w:rFonts w:ascii="Arial" w:hAnsi="Arial" w:cs="Arial"/>
          <w:color w:val="000000" w:themeColor="text1"/>
          <w:sz w:val="24"/>
          <w:szCs w:val="24"/>
        </w:rPr>
        <w:t xml:space="preserve"> </w:t>
      </w:r>
      <w:r w:rsidRPr="00F404D9">
        <w:rPr>
          <w:rFonts w:ascii="Arial" w:hAnsi="Arial" w:cs="Arial"/>
          <w:color w:val="000000" w:themeColor="text1"/>
          <w:sz w:val="24"/>
          <w:szCs w:val="24"/>
        </w:rPr>
        <w:t>od cen towarów lub usług oferowanych w podobnych projektach lub oferowanych przez beneficj</w:t>
      </w:r>
      <w:r w:rsidR="00221186" w:rsidRPr="00F404D9">
        <w:rPr>
          <w:rFonts w:ascii="Arial" w:hAnsi="Arial" w:cs="Arial"/>
          <w:color w:val="000000" w:themeColor="text1"/>
          <w:sz w:val="24"/>
          <w:szCs w:val="24"/>
        </w:rPr>
        <w:t>e</w:t>
      </w:r>
      <w:r w:rsidRPr="00F404D9">
        <w:rPr>
          <w:rFonts w:ascii="Arial" w:hAnsi="Arial" w:cs="Arial"/>
          <w:color w:val="000000" w:themeColor="text1"/>
          <w:sz w:val="24"/>
          <w:szCs w:val="24"/>
        </w:rPr>
        <w:t xml:space="preserve">nta poza projektem (np. poprzez sprawdzenie na stronach internetowych oferty komercyjnej beneficjenta); </w:t>
      </w:r>
    </w:p>
    <w:p w14:paraId="13E7B8BE" w14:textId="7DCF29C9" w:rsidR="00890480" w:rsidRPr="00F404D9" w:rsidRDefault="00890480" w:rsidP="003A7E78">
      <w:pPr>
        <w:numPr>
          <w:ilvl w:val="0"/>
          <w:numId w:val="6"/>
        </w:numPr>
        <w:spacing w:after="360" w:line="23" w:lineRule="atLeast"/>
        <w:ind w:left="714" w:hanging="357"/>
        <w:rPr>
          <w:rFonts w:ascii="Arial" w:hAnsi="Arial" w:cs="Arial"/>
          <w:color w:val="000000" w:themeColor="text1"/>
          <w:sz w:val="24"/>
          <w:szCs w:val="24"/>
        </w:rPr>
      </w:pPr>
      <w:r w:rsidRPr="00F404D9">
        <w:rPr>
          <w:rFonts w:ascii="Arial" w:hAnsi="Arial" w:cs="Arial"/>
          <w:color w:val="000000" w:themeColor="text1"/>
          <w:sz w:val="24"/>
          <w:szCs w:val="24"/>
        </w:rPr>
        <w:t>czy wydatki ujmowane w budżecie projektu spełniają relację nakład-rezultat,</w:t>
      </w:r>
      <w:r w:rsidR="003A7E78">
        <w:rPr>
          <w:rFonts w:ascii="Arial" w:hAnsi="Arial" w:cs="Arial"/>
          <w:color w:val="000000" w:themeColor="text1"/>
          <w:sz w:val="24"/>
          <w:szCs w:val="24"/>
        </w:rPr>
        <w:t xml:space="preserve"> </w:t>
      </w:r>
      <w:r w:rsidRPr="00F404D9">
        <w:rPr>
          <w:rFonts w:ascii="Arial" w:hAnsi="Arial" w:cs="Arial"/>
          <w:color w:val="000000" w:themeColor="text1"/>
          <w:sz w:val="24"/>
          <w:szCs w:val="24"/>
        </w:rPr>
        <w:t>tym samym czy będą ponoszone w wysokości odpowiedniej do specyfiki i złożoności zadań przewidzianych w projekcie, porównywane będą rezultaty projektów z</w:t>
      </w:r>
      <w:r w:rsidR="003A7E78">
        <w:rPr>
          <w:rFonts w:ascii="Arial" w:hAnsi="Arial" w:cs="Arial"/>
          <w:color w:val="000000" w:themeColor="text1"/>
          <w:sz w:val="24"/>
          <w:szCs w:val="24"/>
        </w:rPr>
        <w:t> </w:t>
      </w:r>
      <w:r w:rsidRPr="00F404D9">
        <w:rPr>
          <w:rFonts w:ascii="Arial" w:hAnsi="Arial" w:cs="Arial"/>
          <w:color w:val="000000" w:themeColor="text1"/>
          <w:sz w:val="24"/>
          <w:szCs w:val="24"/>
        </w:rPr>
        <w:t>nakładami finansowymi przewidzianymi w budżetach projektów</w:t>
      </w:r>
      <w:r w:rsidR="00221186" w:rsidRPr="00F404D9">
        <w:rPr>
          <w:rFonts w:ascii="Arial" w:hAnsi="Arial" w:cs="Arial"/>
          <w:color w:val="000000" w:themeColor="text1"/>
          <w:sz w:val="24"/>
          <w:szCs w:val="24"/>
        </w:rPr>
        <w:t>.</w:t>
      </w:r>
    </w:p>
    <w:tbl>
      <w:tblPr>
        <w:tblStyle w:val="Tabela-Siatka"/>
        <w:tblW w:w="10060" w:type="dxa"/>
        <w:tblLayout w:type="fixed"/>
        <w:tblLook w:val="04A0" w:firstRow="1" w:lastRow="0" w:firstColumn="1" w:lastColumn="0" w:noHBand="0" w:noVBand="1"/>
      </w:tblPr>
      <w:tblGrid>
        <w:gridCol w:w="1838"/>
        <w:gridCol w:w="6237"/>
        <w:gridCol w:w="1985"/>
      </w:tblGrid>
      <w:tr w:rsidR="00E92083" w:rsidRPr="00A21008" w14:paraId="648FAD2F" w14:textId="77777777" w:rsidTr="008C13FF">
        <w:tc>
          <w:tcPr>
            <w:tcW w:w="1838" w:type="dxa"/>
            <w:tcBorders>
              <w:bottom w:val="single" w:sz="4" w:space="0" w:color="auto"/>
            </w:tcBorders>
            <w:shd w:val="clear" w:color="auto" w:fill="C6D9F1" w:themeFill="text2" w:themeFillTint="33"/>
            <w:vAlign w:val="center"/>
          </w:tcPr>
          <w:p w14:paraId="5D2A3D85" w14:textId="0DB6072D" w:rsidR="00A21008" w:rsidRPr="00A21008" w:rsidRDefault="00A21008" w:rsidP="003A7E78">
            <w:pPr>
              <w:spacing w:line="23" w:lineRule="atLeast"/>
              <w:ind w:right="-43"/>
              <w:jc w:val="center"/>
              <w:rPr>
                <w:rFonts w:ascii="Arial" w:hAnsi="Arial" w:cs="Arial"/>
                <w:b/>
              </w:rPr>
            </w:pPr>
            <w:r w:rsidRPr="00A21008">
              <w:rPr>
                <w:rFonts w:ascii="Arial" w:hAnsi="Arial" w:cs="Arial"/>
                <w:b/>
              </w:rPr>
              <w:t>Kategoria kosztu/wydatku</w:t>
            </w:r>
          </w:p>
        </w:tc>
        <w:tc>
          <w:tcPr>
            <w:tcW w:w="6237" w:type="dxa"/>
            <w:tcBorders>
              <w:bottom w:val="single" w:sz="4" w:space="0" w:color="auto"/>
            </w:tcBorders>
            <w:shd w:val="clear" w:color="auto" w:fill="C6D9F1" w:themeFill="text2" w:themeFillTint="33"/>
            <w:vAlign w:val="center"/>
          </w:tcPr>
          <w:p w14:paraId="38870E01" w14:textId="70859188" w:rsidR="00A21008" w:rsidRPr="00A21008" w:rsidRDefault="00A21008" w:rsidP="003A7E78">
            <w:pPr>
              <w:spacing w:line="23" w:lineRule="atLeast"/>
              <w:jc w:val="center"/>
              <w:rPr>
                <w:rFonts w:ascii="Arial" w:hAnsi="Arial" w:cs="Arial"/>
                <w:b/>
              </w:rPr>
            </w:pPr>
            <w:r w:rsidRPr="00A21008">
              <w:rPr>
                <w:rFonts w:ascii="Arial" w:hAnsi="Arial" w:cs="Arial"/>
                <w:b/>
              </w:rPr>
              <w:t>Opis wydatku</w:t>
            </w:r>
            <w:r w:rsidR="00717BBB">
              <w:rPr>
                <w:rFonts w:ascii="Arial" w:hAnsi="Arial" w:cs="Arial"/>
                <w:b/>
              </w:rPr>
              <w:t xml:space="preserve"> - standard</w:t>
            </w:r>
          </w:p>
        </w:tc>
        <w:tc>
          <w:tcPr>
            <w:tcW w:w="1985" w:type="dxa"/>
            <w:tcBorders>
              <w:bottom w:val="single" w:sz="4" w:space="0" w:color="auto"/>
            </w:tcBorders>
            <w:shd w:val="clear" w:color="auto" w:fill="C6D9F1" w:themeFill="text2" w:themeFillTint="33"/>
            <w:vAlign w:val="center"/>
          </w:tcPr>
          <w:p w14:paraId="30310B6A" w14:textId="77777777" w:rsidR="00A21008" w:rsidRPr="00A21008" w:rsidRDefault="00A21008" w:rsidP="003A7E78">
            <w:pPr>
              <w:spacing w:line="23" w:lineRule="atLeast"/>
              <w:jc w:val="center"/>
              <w:rPr>
                <w:rFonts w:ascii="Arial" w:hAnsi="Arial" w:cs="Arial"/>
                <w:b/>
              </w:rPr>
            </w:pPr>
            <w:r w:rsidRPr="00A21008">
              <w:rPr>
                <w:rFonts w:ascii="Arial" w:hAnsi="Arial" w:cs="Arial"/>
                <w:b/>
              </w:rPr>
              <w:t>Cena</w:t>
            </w:r>
            <w:r w:rsidRPr="00A21008">
              <w:rPr>
                <w:rStyle w:val="Odwoanieprzypisudolnego"/>
                <w:rFonts w:ascii="Arial" w:hAnsi="Arial" w:cs="Arial"/>
                <w:b/>
              </w:rPr>
              <w:footnoteReference w:id="2"/>
            </w:r>
            <w:r w:rsidRPr="00A21008">
              <w:rPr>
                <w:rFonts w:ascii="Arial" w:hAnsi="Arial" w:cs="Arial"/>
                <w:b/>
              </w:rPr>
              <w:t xml:space="preserve"> (cena, której poziom nie powinien co do zasady zostać przekroczony)</w:t>
            </w:r>
          </w:p>
        </w:tc>
      </w:tr>
      <w:tr w:rsidR="008A4DEB" w:rsidRPr="00A21008" w14:paraId="3CA11F61" w14:textId="77777777" w:rsidTr="008C13FF">
        <w:tc>
          <w:tcPr>
            <w:tcW w:w="10060" w:type="dxa"/>
            <w:gridSpan w:val="3"/>
            <w:tcBorders>
              <w:bottom w:val="single" w:sz="4" w:space="0" w:color="auto"/>
            </w:tcBorders>
            <w:shd w:val="clear" w:color="auto" w:fill="C6D9F1" w:themeFill="text2" w:themeFillTint="33"/>
            <w:vAlign w:val="center"/>
          </w:tcPr>
          <w:p w14:paraId="48429028" w14:textId="4B7FE114" w:rsidR="008A4DEB" w:rsidRPr="00A21008" w:rsidRDefault="00CE70A1" w:rsidP="003A7E78">
            <w:pPr>
              <w:spacing w:before="120" w:after="120" w:line="23" w:lineRule="atLeast"/>
              <w:jc w:val="center"/>
              <w:rPr>
                <w:rFonts w:ascii="Arial" w:hAnsi="Arial" w:cs="Arial"/>
                <w:b/>
              </w:rPr>
            </w:pPr>
            <w:r>
              <w:rPr>
                <w:rFonts w:ascii="Arial" w:hAnsi="Arial" w:cs="Arial"/>
                <w:b/>
              </w:rPr>
              <w:t>Zakres rehabilitacji medycznej powinien wynikać ze zdiagnozowanych problemów zdrowotnych grupy docelowej i prowadzić do osiągnięcia założonych w projekcie celów</w:t>
            </w:r>
          </w:p>
        </w:tc>
      </w:tr>
      <w:tr w:rsidR="00E92083" w:rsidRPr="00A21008" w14:paraId="3D2B8EB5" w14:textId="77777777" w:rsidTr="002708BE">
        <w:tc>
          <w:tcPr>
            <w:tcW w:w="1838" w:type="dxa"/>
          </w:tcPr>
          <w:p w14:paraId="3E5D3604" w14:textId="501A2292" w:rsidR="00A21008" w:rsidRPr="00A21008" w:rsidRDefault="00A21008" w:rsidP="00F70785">
            <w:pPr>
              <w:spacing w:before="60" w:line="23" w:lineRule="atLeast"/>
              <w:rPr>
                <w:rFonts w:ascii="Arial" w:hAnsi="Arial" w:cs="Arial"/>
              </w:rPr>
            </w:pPr>
            <w:r w:rsidRPr="00A21008">
              <w:rPr>
                <w:rFonts w:ascii="Arial" w:hAnsi="Arial" w:cs="Arial"/>
              </w:rPr>
              <w:t>Wynagrodzenie doradcy zawodowego</w:t>
            </w:r>
          </w:p>
        </w:tc>
        <w:tc>
          <w:tcPr>
            <w:tcW w:w="6237" w:type="dxa"/>
            <w:shd w:val="clear" w:color="auto" w:fill="auto"/>
          </w:tcPr>
          <w:p w14:paraId="6975566D" w14:textId="0DB43129" w:rsidR="009259A2" w:rsidRDefault="00E634BE" w:rsidP="00130AE2">
            <w:pPr>
              <w:pStyle w:val="Akapitzlist"/>
              <w:numPr>
                <w:ilvl w:val="0"/>
                <w:numId w:val="16"/>
              </w:numPr>
              <w:tabs>
                <w:tab w:val="left" w:pos="331"/>
              </w:tabs>
              <w:spacing w:before="60" w:after="120" w:line="23" w:lineRule="atLeast"/>
              <w:ind w:left="312" w:hanging="278"/>
              <w:contextualSpacing w:val="0"/>
              <w:rPr>
                <w:rFonts w:ascii="Arial" w:hAnsi="Arial" w:cs="Arial"/>
              </w:rPr>
            </w:pPr>
            <w:r w:rsidRPr="009259A2">
              <w:rPr>
                <w:rFonts w:ascii="Arial" w:hAnsi="Arial" w:cs="Arial"/>
              </w:rPr>
              <w:t>Doradca zawodowy posiada wykształcenie wyższe/zawodowe lub certyfikaty/zaświadczenia/inne umożliwiające przeprowadzenie danego wsparcia. Minimalne doświadczenie zawodowe w danej dziedzinie nie powinno być krótsze niż 2 lata.</w:t>
            </w:r>
          </w:p>
          <w:p w14:paraId="5DA64F48" w14:textId="77777777" w:rsidR="009259A2" w:rsidRDefault="00E634BE" w:rsidP="00130AE2">
            <w:pPr>
              <w:pStyle w:val="Akapitzlist"/>
              <w:numPr>
                <w:ilvl w:val="0"/>
                <w:numId w:val="16"/>
              </w:numPr>
              <w:tabs>
                <w:tab w:val="left" w:pos="331"/>
              </w:tabs>
              <w:spacing w:after="120" w:line="23" w:lineRule="atLeast"/>
              <w:ind w:left="312" w:hanging="278"/>
              <w:contextualSpacing w:val="0"/>
              <w:rPr>
                <w:rFonts w:ascii="Arial" w:hAnsi="Arial" w:cs="Arial"/>
              </w:rPr>
            </w:pPr>
            <w:r w:rsidRPr="009259A2">
              <w:rPr>
                <w:rFonts w:ascii="Arial" w:hAnsi="Arial" w:cs="Arial"/>
              </w:rPr>
              <w:t>Liczba godzin pomocy powinna być uzależniona od indywidulanych potrzeb klienta, w tym uwzględniać specyfikę grupy docelowej, do której kierowane jest wsparcie (np. większa ilość godzin wsparcia jest zasadna w przypadku uczestników o szczególnych potrzebach np. osoby z niepełnosprawnościami), gdy wynik diagnozy wskazuje na trudności w rozwiązaniu problemu zawodowego.</w:t>
            </w:r>
          </w:p>
          <w:p w14:paraId="707569BA" w14:textId="2FEE0D5C" w:rsidR="009259A2" w:rsidRPr="00F404D9" w:rsidRDefault="008260A2" w:rsidP="00130AE2">
            <w:pPr>
              <w:pStyle w:val="Akapitzlist"/>
              <w:numPr>
                <w:ilvl w:val="0"/>
                <w:numId w:val="16"/>
              </w:numPr>
              <w:tabs>
                <w:tab w:val="left" w:pos="331"/>
              </w:tabs>
              <w:spacing w:after="120" w:line="23" w:lineRule="atLeast"/>
              <w:ind w:left="312" w:hanging="278"/>
              <w:contextualSpacing w:val="0"/>
              <w:rPr>
                <w:rFonts w:ascii="Arial" w:hAnsi="Arial" w:cs="Arial"/>
                <w:color w:val="000000" w:themeColor="text1"/>
              </w:rPr>
            </w:pPr>
            <w:r w:rsidRPr="00F404D9">
              <w:rPr>
                <w:rFonts w:ascii="Arial" w:hAnsi="Arial" w:cs="Arial"/>
                <w:color w:val="000000" w:themeColor="text1"/>
              </w:rPr>
              <w:t>Podstawowym standardem wsparcia jest określenie czasu trwania wsparcia podanego w godzinach. Przy czym 1</w:t>
            </w:r>
            <w:r w:rsidR="003A7E78">
              <w:rPr>
                <w:rFonts w:ascii="Arial" w:hAnsi="Arial" w:cs="Arial"/>
                <w:color w:val="000000" w:themeColor="text1"/>
              </w:rPr>
              <w:t> </w:t>
            </w:r>
            <w:r w:rsidRPr="00F404D9">
              <w:rPr>
                <w:rFonts w:ascii="Arial" w:hAnsi="Arial" w:cs="Arial"/>
                <w:color w:val="000000" w:themeColor="text1"/>
              </w:rPr>
              <w:t>godzinę wsparcia należy rozumieć jako 60 min.</w:t>
            </w:r>
          </w:p>
          <w:p w14:paraId="3D47E369" w14:textId="1D741FC8" w:rsidR="004F1DDF" w:rsidRPr="00A21008" w:rsidRDefault="00E634BE" w:rsidP="00130AE2">
            <w:pPr>
              <w:pStyle w:val="Akapitzlist"/>
              <w:numPr>
                <w:ilvl w:val="0"/>
                <w:numId w:val="16"/>
              </w:numPr>
              <w:tabs>
                <w:tab w:val="left" w:pos="331"/>
              </w:tabs>
              <w:spacing w:after="120" w:line="23" w:lineRule="atLeast"/>
              <w:ind w:left="312" w:hanging="278"/>
              <w:rPr>
                <w:rFonts w:ascii="Arial" w:hAnsi="Arial" w:cs="Arial"/>
                <w:color w:val="000000"/>
              </w:rPr>
            </w:pPr>
            <w:r w:rsidRPr="009259A2">
              <w:rPr>
                <w:rFonts w:ascii="Arial" w:hAnsi="Arial" w:cs="Arial"/>
              </w:rPr>
              <w:t>Możliwe jest świadczenie wsparcia doradztwa/ poradnictwa zawodowego w formie indywidualnej oraz grupowej.</w:t>
            </w:r>
          </w:p>
        </w:tc>
        <w:tc>
          <w:tcPr>
            <w:tcW w:w="1985" w:type="dxa"/>
          </w:tcPr>
          <w:p w14:paraId="09EBFBE7" w14:textId="59C0B484" w:rsidR="00A21008" w:rsidRPr="008260A2" w:rsidRDefault="00525B73" w:rsidP="003A7E78">
            <w:pPr>
              <w:pStyle w:val="Akapitzlist"/>
              <w:numPr>
                <w:ilvl w:val="0"/>
                <w:numId w:val="15"/>
              </w:numPr>
              <w:tabs>
                <w:tab w:val="left" w:pos="256"/>
              </w:tabs>
              <w:spacing w:before="60" w:line="23" w:lineRule="atLeast"/>
              <w:ind w:left="34" w:firstLine="0"/>
              <w:contextualSpacing w:val="0"/>
              <w:rPr>
                <w:rFonts w:ascii="Arial" w:hAnsi="Arial" w:cs="Arial"/>
              </w:rPr>
            </w:pPr>
            <w:r w:rsidRPr="008260A2">
              <w:rPr>
                <w:rFonts w:ascii="Arial" w:hAnsi="Arial" w:cs="Arial"/>
                <w:color w:val="000000" w:themeColor="text1"/>
              </w:rPr>
              <w:t xml:space="preserve"> </w:t>
            </w:r>
            <w:r w:rsidR="005B5587">
              <w:rPr>
                <w:rFonts w:ascii="Arial" w:hAnsi="Arial" w:cs="Arial"/>
                <w:color w:val="000000" w:themeColor="text1"/>
              </w:rPr>
              <w:t xml:space="preserve">w </w:t>
            </w:r>
            <w:r w:rsidRPr="008260A2">
              <w:rPr>
                <w:rFonts w:ascii="Arial" w:hAnsi="Arial" w:cs="Arial"/>
                <w:color w:val="000000" w:themeColor="text1"/>
              </w:rPr>
              <w:t xml:space="preserve">przypadku umowy o pracę, kwota wynagrodzenia </w:t>
            </w:r>
            <w:r w:rsidR="001D7941">
              <w:rPr>
                <w:rFonts w:ascii="Arial" w:hAnsi="Arial" w:cs="Arial"/>
                <w:color w:val="000000" w:themeColor="text1"/>
              </w:rPr>
              <w:t xml:space="preserve">nie może przekroczyć kwoty wynagrodzenia pracowników beneficjenta </w:t>
            </w:r>
            <w:r w:rsidR="001D7941" w:rsidRPr="001D7941">
              <w:rPr>
                <w:rFonts w:ascii="Arial" w:hAnsi="Arial" w:cs="Arial"/>
                <w:bCs/>
                <w:color w:val="000000" w:themeColor="text1"/>
              </w:rPr>
              <w:t>na analogicznych stanowiskach lub na stanowiskach wymagających analogicznych kwalifikacji</w:t>
            </w:r>
            <w:r w:rsidR="001D7941">
              <w:rPr>
                <w:rFonts w:ascii="Arial" w:hAnsi="Arial" w:cs="Arial"/>
                <w:b/>
                <w:color w:val="000000" w:themeColor="text1"/>
              </w:rPr>
              <w:t xml:space="preserve"> </w:t>
            </w:r>
            <w:r w:rsidRPr="008260A2">
              <w:rPr>
                <w:rFonts w:ascii="Arial" w:hAnsi="Arial" w:cs="Arial"/>
                <w:color w:val="000000" w:themeColor="text1"/>
              </w:rPr>
              <w:t xml:space="preserve">lub </w:t>
            </w:r>
            <w:r w:rsidR="001D7941">
              <w:rPr>
                <w:rFonts w:ascii="Arial" w:hAnsi="Arial" w:cs="Arial"/>
                <w:color w:val="000000" w:themeColor="text1"/>
              </w:rPr>
              <w:t>kwoty wynikającej z</w:t>
            </w:r>
            <w:r w:rsidR="003A7E78">
              <w:rPr>
                <w:rFonts w:ascii="Arial" w:hAnsi="Arial" w:cs="Arial"/>
                <w:color w:val="000000" w:themeColor="text1"/>
              </w:rPr>
              <w:t> </w:t>
            </w:r>
            <w:r w:rsidRPr="008260A2">
              <w:rPr>
                <w:rFonts w:ascii="Arial" w:hAnsi="Arial" w:cs="Arial"/>
                <w:color w:val="000000" w:themeColor="text1"/>
              </w:rPr>
              <w:t>przepisów prawa w</w:t>
            </w:r>
            <w:r w:rsidR="003A7E78">
              <w:rPr>
                <w:rFonts w:ascii="Arial" w:hAnsi="Arial" w:cs="Arial"/>
                <w:color w:val="000000" w:themeColor="text1"/>
              </w:rPr>
              <w:t> </w:t>
            </w:r>
            <w:r w:rsidRPr="008260A2">
              <w:rPr>
                <w:rFonts w:ascii="Arial" w:hAnsi="Arial" w:cs="Arial"/>
                <w:color w:val="000000" w:themeColor="text1"/>
              </w:rPr>
              <w:t xml:space="preserve">rozumieniu art. 9 §1 </w:t>
            </w:r>
            <w:r w:rsidRPr="00406EEB">
              <w:rPr>
                <w:rFonts w:ascii="Arial" w:hAnsi="Arial" w:cs="Arial"/>
                <w:iCs/>
                <w:color w:val="000000" w:themeColor="text1"/>
              </w:rPr>
              <w:t>Kodeksu pracy</w:t>
            </w:r>
            <w:r w:rsidRPr="008260A2">
              <w:rPr>
                <w:rFonts w:ascii="Arial" w:hAnsi="Arial" w:cs="Arial"/>
                <w:color w:val="000000" w:themeColor="text1"/>
              </w:rPr>
              <w:t xml:space="preserve"> lub statystyki publicznej</w:t>
            </w:r>
            <w:r w:rsidR="003A7E78">
              <w:rPr>
                <w:rFonts w:ascii="Arial" w:hAnsi="Arial" w:cs="Arial"/>
                <w:color w:val="000000" w:themeColor="text1"/>
              </w:rPr>
              <w:t>.</w:t>
            </w:r>
          </w:p>
        </w:tc>
      </w:tr>
      <w:tr w:rsidR="00E92083" w:rsidRPr="00A21008" w14:paraId="26282F55" w14:textId="77777777" w:rsidTr="002708BE">
        <w:tc>
          <w:tcPr>
            <w:tcW w:w="1838" w:type="dxa"/>
          </w:tcPr>
          <w:p w14:paraId="4B0E7BA9" w14:textId="77777777" w:rsidR="00A21008" w:rsidRPr="00A21008" w:rsidRDefault="00A21008" w:rsidP="003A7E78">
            <w:pPr>
              <w:spacing w:before="60" w:line="23" w:lineRule="atLeast"/>
              <w:jc w:val="both"/>
              <w:rPr>
                <w:rFonts w:ascii="Arial" w:hAnsi="Arial" w:cs="Arial"/>
              </w:rPr>
            </w:pPr>
            <w:r w:rsidRPr="00A21008">
              <w:rPr>
                <w:rFonts w:ascii="Arial" w:hAnsi="Arial" w:cs="Arial"/>
              </w:rPr>
              <w:t>Wsparcie psychologiczne</w:t>
            </w:r>
          </w:p>
        </w:tc>
        <w:tc>
          <w:tcPr>
            <w:tcW w:w="6237" w:type="dxa"/>
          </w:tcPr>
          <w:p w14:paraId="11358BF0" w14:textId="75EBC1B7" w:rsidR="00E634BE" w:rsidRDefault="00A21008" w:rsidP="00130AE2">
            <w:pPr>
              <w:pStyle w:val="Akapitzlist"/>
              <w:numPr>
                <w:ilvl w:val="0"/>
                <w:numId w:val="5"/>
              </w:numPr>
              <w:tabs>
                <w:tab w:val="left" w:pos="406"/>
              </w:tabs>
              <w:spacing w:before="60" w:after="120" w:line="23" w:lineRule="atLeast"/>
              <w:ind w:left="312" w:hanging="284"/>
              <w:contextualSpacing w:val="0"/>
              <w:rPr>
                <w:rFonts w:ascii="Arial" w:hAnsi="Arial" w:cs="Arial"/>
              </w:rPr>
            </w:pPr>
            <w:r w:rsidRPr="00E634BE">
              <w:rPr>
                <w:rFonts w:ascii="Arial" w:hAnsi="Arial" w:cs="Arial"/>
              </w:rPr>
              <w:t xml:space="preserve">Objęcie wsparciem psychologicznym </w:t>
            </w:r>
            <w:r w:rsidR="00CD2864">
              <w:rPr>
                <w:rFonts w:ascii="Arial" w:hAnsi="Arial" w:cs="Arial"/>
              </w:rPr>
              <w:t xml:space="preserve">osób </w:t>
            </w:r>
            <w:r w:rsidR="008A628D">
              <w:rPr>
                <w:rFonts w:ascii="Arial" w:hAnsi="Arial" w:cs="Arial"/>
              </w:rPr>
              <w:t>ujętych w</w:t>
            </w:r>
            <w:r w:rsidR="00130AE2">
              <w:rPr>
                <w:rFonts w:ascii="Arial" w:hAnsi="Arial" w:cs="Arial"/>
              </w:rPr>
              <w:t> </w:t>
            </w:r>
            <w:r w:rsidR="008A628D">
              <w:rPr>
                <w:rFonts w:ascii="Arial" w:hAnsi="Arial" w:cs="Arial"/>
              </w:rPr>
              <w:t xml:space="preserve">projekcie powinno </w:t>
            </w:r>
            <w:r w:rsidRPr="00E634BE">
              <w:rPr>
                <w:rFonts w:ascii="Arial" w:hAnsi="Arial" w:cs="Arial"/>
              </w:rPr>
              <w:t xml:space="preserve">służyć budowaniu aktywnych postaw </w:t>
            </w:r>
            <w:r w:rsidRPr="00E634BE">
              <w:rPr>
                <w:rFonts w:ascii="Arial" w:hAnsi="Arial" w:cs="Arial"/>
              </w:rPr>
              <w:lastRenderedPageBreak/>
              <w:t xml:space="preserve">na rynku pracy, poprzez wzrost poziomu motywacji do </w:t>
            </w:r>
            <w:r w:rsidR="008B42FE">
              <w:rPr>
                <w:rFonts w:ascii="Arial" w:hAnsi="Arial" w:cs="Arial"/>
              </w:rPr>
              <w:t>poprawienia swojej sytuacji na rynku pracy</w:t>
            </w:r>
            <w:r w:rsidRPr="00E634BE">
              <w:rPr>
                <w:rFonts w:ascii="Arial" w:hAnsi="Arial" w:cs="Arial"/>
              </w:rPr>
              <w:t>.</w:t>
            </w:r>
          </w:p>
          <w:p w14:paraId="1AFDB6D0" w14:textId="06B3DF78" w:rsidR="00E634BE" w:rsidRDefault="00A21008" w:rsidP="00130AE2">
            <w:pPr>
              <w:pStyle w:val="Akapitzlist"/>
              <w:numPr>
                <w:ilvl w:val="0"/>
                <w:numId w:val="5"/>
              </w:numPr>
              <w:tabs>
                <w:tab w:val="left" w:pos="406"/>
              </w:tabs>
              <w:spacing w:before="120" w:after="120" w:line="23" w:lineRule="atLeast"/>
              <w:ind w:left="312" w:hanging="284"/>
              <w:contextualSpacing w:val="0"/>
              <w:rPr>
                <w:rFonts w:ascii="Arial" w:hAnsi="Arial" w:cs="Arial"/>
              </w:rPr>
            </w:pPr>
            <w:r w:rsidRPr="00E634BE">
              <w:rPr>
                <w:rFonts w:ascii="Arial" w:hAnsi="Arial" w:cs="Arial"/>
              </w:rPr>
              <w:t>Wydatek może być uznany za kwalifikowalny, o ile jest to uzasadnione specyfiką realizowanego projektu, a</w:t>
            </w:r>
            <w:r w:rsidR="00130AE2">
              <w:rPr>
                <w:rFonts w:ascii="Arial" w:hAnsi="Arial" w:cs="Arial"/>
              </w:rPr>
              <w:t> </w:t>
            </w:r>
            <w:r w:rsidRPr="00E634BE">
              <w:rPr>
                <w:rFonts w:ascii="Arial" w:hAnsi="Arial" w:cs="Arial"/>
              </w:rPr>
              <w:t>psycholog posiada wykształcenie wyższe/zawodowe lub certyfikaty/zaświadczenia/inne umożliwiające przeprowadzenie danego wsparcia</w:t>
            </w:r>
            <w:r w:rsidR="00F404D9">
              <w:rPr>
                <w:rFonts w:ascii="Arial" w:hAnsi="Arial" w:cs="Arial"/>
              </w:rPr>
              <w:t>.</w:t>
            </w:r>
            <w:r w:rsidRPr="00E634BE">
              <w:rPr>
                <w:rFonts w:ascii="Arial" w:hAnsi="Arial" w:cs="Arial"/>
              </w:rPr>
              <w:t xml:space="preserve"> Przez odpowiednie kwalifikacje należy rozumieć posiadanie wykształcenia psychologicznego oraz doświadczenia związanego z diagnostyką psychologiczną osób dorosłych, w tym również doradztwem zawodowym, coachingiem. Minimalne doświadczenie zawodowe w danej dziedzinie nie powinno być krótsze niż 2 lata. </w:t>
            </w:r>
          </w:p>
          <w:p w14:paraId="39EC34C0" w14:textId="77777777" w:rsidR="002708BE" w:rsidRPr="0004466D" w:rsidRDefault="00A21008" w:rsidP="00130AE2">
            <w:pPr>
              <w:pStyle w:val="Akapitzlist"/>
              <w:numPr>
                <w:ilvl w:val="0"/>
                <w:numId w:val="5"/>
              </w:numPr>
              <w:tabs>
                <w:tab w:val="left" w:pos="406"/>
              </w:tabs>
              <w:spacing w:before="120" w:after="120" w:line="23" w:lineRule="atLeast"/>
              <w:ind w:left="312" w:hanging="284"/>
              <w:contextualSpacing w:val="0"/>
              <w:rPr>
                <w:rFonts w:ascii="Arial" w:hAnsi="Arial" w:cs="Arial"/>
              </w:rPr>
            </w:pPr>
            <w:r w:rsidRPr="00E634BE">
              <w:rPr>
                <w:rFonts w:ascii="Arial" w:hAnsi="Arial" w:cs="Arial"/>
              </w:rPr>
              <w:t xml:space="preserve">Liczba godzin pomocy psychologicznej powinna być uzależniona od indywidulanych potrzeb klienta, w tym uwzględniać specyfikę grupy docelowej, do której kierowane jest wsparcie (np. większa ilość godzin wsparcia psychologicznego jest zasadna w grupach, gdzie większość lub 100% grupy stanowią uczestnicy o szczególnych potrzebach np. osoby niepełnosprawne), gdy wynik diagnozy wskazuje na trudności w rozwiązaniu problemu zawodowego klienta. </w:t>
            </w:r>
          </w:p>
          <w:p w14:paraId="415222CC" w14:textId="40BC47EC" w:rsidR="00E634BE" w:rsidRDefault="00A21008" w:rsidP="00130AE2">
            <w:pPr>
              <w:pStyle w:val="Akapitzlist"/>
              <w:numPr>
                <w:ilvl w:val="0"/>
                <w:numId w:val="5"/>
              </w:numPr>
              <w:tabs>
                <w:tab w:val="left" w:pos="406"/>
              </w:tabs>
              <w:spacing w:before="120" w:after="120" w:line="23" w:lineRule="atLeast"/>
              <w:ind w:left="312" w:hanging="284"/>
              <w:contextualSpacing w:val="0"/>
              <w:rPr>
                <w:rFonts w:ascii="Arial" w:hAnsi="Arial" w:cs="Arial"/>
              </w:rPr>
            </w:pPr>
            <w:r w:rsidRPr="00E634BE">
              <w:rPr>
                <w:rFonts w:ascii="Arial" w:hAnsi="Arial" w:cs="Arial"/>
              </w:rPr>
              <w:t xml:space="preserve">Przez 1 godzinę wsparcia należy rozumieć 50 min. </w:t>
            </w:r>
          </w:p>
          <w:p w14:paraId="0258FF9D" w14:textId="018408CC" w:rsidR="00A21008" w:rsidRPr="00E634BE" w:rsidRDefault="00A21008" w:rsidP="00130AE2">
            <w:pPr>
              <w:pStyle w:val="Akapitzlist"/>
              <w:numPr>
                <w:ilvl w:val="0"/>
                <w:numId w:val="5"/>
              </w:numPr>
              <w:tabs>
                <w:tab w:val="left" w:pos="406"/>
              </w:tabs>
              <w:spacing w:before="120" w:after="120" w:line="23" w:lineRule="atLeast"/>
              <w:ind w:left="312" w:hanging="284"/>
              <w:contextualSpacing w:val="0"/>
              <w:rPr>
                <w:rFonts w:ascii="Arial" w:hAnsi="Arial" w:cs="Arial"/>
              </w:rPr>
            </w:pPr>
            <w:r w:rsidRPr="00E634BE">
              <w:rPr>
                <w:rFonts w:ascii="Arial" w:hAnsi="Arial" w:cs="Arial"/>
              </w:rPr>
              <w:t xml:space="preserve">Możliwe jest świadczenie wsparcia psychologicznego w formie indywidualnej oraz grupowej. </w:t>
            </w:r>
          </w:p>
        </w:tc>
        <w:tc>
          <w:tcPr>
            <w:tcW w:w="1985" w:type="dxa"/>
          </w:tcPr>
          <w:p w14:paraId="6919FBA6" w14:textId="71131152" w:rsidR="00A21008" w:rsidRDefault="00661936" w:rsidP="003A7E78">
            <w:pPr>
              <w:spacing w:before="60" w:line="23" w:lineRule="atLeast"/>
              <w:rPr>
                <w:rFonts w:ascii="Arial" w:hAnsi="Arial" w:cs="Arial"/>
              </w:rPr>
            </w:pPr>
            <w:r>
              <w:rPr>
                <w:rFonts w:ascii="Arial" w:hAnsi="Arial" w:cs="Arial"/>
              </w:rPr>
              <w:lastRenderedPageBreak/>
              <w:t>1</w:t>
            </w:r>
            <w:r w:rsidR="008A628D">
              <w:rPr>
                <w:rFonts w:ascii="Arial" w:hAnsi="Arial" w:cs="Arial"/>
              </w:rPr>
              <w:t>80</w:t>
            </w:r>
            <w:r>
              <w:rPr>
                <w:rFonts w:ascii="Arial" w:hAnsi="Arial" w:cs="Arial"/>
              </w:rPr>
              <w:t xml:space="preserve">,00 </w:t>
            </w:r>
            <w:r w:rsidR="00A21008" w:rsidRPr="00A21008">
              <w:rPr>
                <w:rFonts w:ascii="Arial" w:hAnsi="Arial" w:cs="Arial"/>
              </w:rPr>
              <w:t>PLN/50 minut</w:t>
            </w:r>
          </w:p>
          <w:p w14:paraId="2B52E501" w14:textId="0E4018AC" w:rsidR="001D7941" w:rsidRPr="001D7941" w:rsidRDefault="001D7941" w:rsidP="003A7E78">
            <w:pPr>
              <w:pStyle w:val="Akapitzlist"/>
              <w:numPr>
                <w:ilvl w:val="0"/>
                <w:numId w:val="15"/>
              </w:numPr>
              <w:tabs>
                <w:tab w:val="left" w:pos="316"/>
              </w:tabs>
              <w:spacing w:line="23" w:lineRule="atLeast"/>
              <w:ind w:left="33" w:firstLine="0"/>
              <w:rPr>
                <w:rFonts w:ascii="Arial" w:hAnsi="Arial" w:cs="Arial"/>
              </w:rPr>
            </w:pPr>
            <w:r w:rsidRPr="001D7941">
              <w:rPr>
                <w:rFonts w:ascii="Arial" w:hAnsi="Arial" w:cs="Arial"/>
              </w:rPr>
              <w:t xml:space="preserve">w przypadku umowy o pracę, </w:t>
            </w:r>
            <w:r w:rsidRPr="001D7941">
              <w:rPr>
                <w:rFonts w:ascii="Arial" w:hAnsi="Arial" w:cs="Arial"/>
              </w:rPr>
              <w:lastRenderedPageBreak/>
              <w:t xml:space="preserve">kwota wynagrodzenia nie może przekroczyć kwoty wynagrodzenia pracowników beneficjenta </w:t>
            </w:r>
            <w:r w:rsidRPr="001D7941">
              <w:rPr>
                <w:rFonts w:ascii="Arial" w:hAnsi="Arial" w:cs="Arial"/>
                <w:bCs/>
              </w:rPr>
              <w:t>na analogicznych stanowiskach lub na stanowiskach wymagających analogicznych kwalifikacji</w:t>
            </w:r>
            <w:r w:rsidRPr="001D7941">
              <w:rPr>
                <w:rFonts w:ascii="Arial" w:hAnsi="Arial" w:cs="Arial"/>
                <w:b/>
              </w:rPr>
              <w:t xml:space="preserve"> </w:t>
            </w:r>
            <w:r w:rsidRPr="001D7941">
              <w:rPr>
                <w:rFonts w:ascii="Arial" w:hAnsi="Arial" w:cs="Arial"/>
              </w:rPr>
              <w:t>lub kwoty wynikającej z</w:t>
            </w:r>
            <w:r w:rsidR="0004466D">
              <w:rPr>
                <w:rFonts w:ascii="Arial" w:hAnsi="Arial" w:cs="Arial"/>
              </w:rPr>
              <w:t> </w:t>
            </w:r>
            <w:r w:rsidRPr="001D7941">
              <w:rPr>
                <w:rFonts w:ascii="Arial" w:hAnsi="Arial" w:cs="Arial"/>
              </w:rPr>
              <w:t>przepisów prawa w</w:t>
            </w:r>
            <w:r w:rsidR="0004466D">
              <w:rPr>
                <w:rFonts w:ascii="Arial" w:hAnsi="Arial" w:cs="Arial"/>
              </w:rPr>
              <w:t> </w:t>
            </w:r>
            <w:r w:rsidRPr="001D7941">
              <w:rPr>
                <w:rFonts w:ascii="Arial" w:hAnsi="Arial" w:cs="Arial"/>
              </w:rPr>
              <w:t xml:space="preserve">rozumieniu art. 9 §1 </w:t>
            </w:r>
            <w:r w:rsidRPr="001D7941">
              <w:rPr>
                <w:rFonts w:ascii="Arial" w:hAnsi="Arial" w:cs="Arial"/>
                <w:iCs/>
              </w:rPr>
              <w:t>Kodeksu pracy</w:t>
            </w:r>
            <w:r w:rsidRPr="001D7941">
              <w:rPr>
                <w:rFonts w:ascii="Arial" w:hAnsi="Arial" w:cs="Arial"/>
              </w:rPr>
              <w:t xml:space="preserve"> lub statystyki publicznej</w:t>
            </w:r>
            <w:r w:rsidR="0004466D">
              <w:rPr>
                <w:rFonts w:ascii="Arial" w:hAnsi="Arial" w:cs="Arial"/>
              </w:rPr>
              <w:t>.</w:t>
            </w:r>
          </w:p>
        </w:tc>
      </w:tr>
      <w:tr w:rsidR="00CE3CDF" w:rsidRPr="00A21008" w14:paraId="30242DF2" w14:textId="77777777" w:rsidTr="002708BE">
        <w:tc>
          <w:tcPr>
            <w:tcW w:w="1838" w:type="dxa"/>
          </w:tcPr>
          <w:p w14:paraId="09B82462" w14:textId="703C2EB4" w:rsidR="00CE3CDF" w:rsidRPr="00A21008" w:rsidRDefault="00D1151E" w:rsidP="003A7E78">
            <w:pPr>
              <w:spacing w:before="60" w:line="23" w:lineRule="atLeast"/>
              <w:jc w:val="both"/>
              <w:rPr>
                <w:rFonts w:ascii="Arial" w:hAnsi="Arial" w:cs="Arial"/>
              </w:rPr>
            </w:pPr>
            <w:r>
              <w:rPr>
                <w:rFonts w:ascii="Arial" w:hAnsi="Arial" w:cs="Arial"/>
              </w:rPr>
              <w:lastRenderedPageBreak/>
              <w:t>Coaching indywidualny</w:t>
            </w:r>
          </w:p>
        </w:tc>
        <w:tc>
          <w:tcPr>
            <w:tcW w:w="6237" w:type="dxa"/>
          </w:tcPr>
          <w:p w14:paraId="1A11CF9E" w14:textId="516B787D" w:rsidR="001A0045" w:rsidRDefault="00D1151E" w:rsidP="00130AE2">
            <w:pPr>
              <w:pStyle w:val="Akapitzlist"/>
              <w:numPr>
                <w:ilvl w:val="0"/>
                <w:numId w:val="21"/>
              </w:numPr>
              <w:tabs>
                <w:tab w:val="left" w:pos="312"/>
              </w:tabs>
              <w:spacing w:before="60" w:after="120" w:line="23" w:lineRule="atLeast"/>
              <w:ind w:left="312" w:hanging="312"/>
              <w:contextualSpacing w:val="0"/>
              <w:rPr>
                <w:rFonts w:ascii="Arial" w:hAnsi="Arial" w:cs="Arial"/>
              </w:rPr>
            </w:pPr>
            <w:r w:rsidRPr="006361F6">
              <w:rPr>
                <w:rFonts w:ascii="Arial" w:hAnsi="Arial" w:cs="Arial"/>
              </w:rPr>
              <w:t>Objęcie wsparciem</w:t>
            </w:r>
            <w:r w:rsidR="00303A9A">
              <w:rPr>
                <w:rFonts w:ascii="Arial" w:hAnsi="Arial" w:cs="Arial"/>
              </w:rPr>
              <w:t xml:space="preserve"> w postaci coachingu indywidualnego powinno służyć osobom ujętym w projekcie</w:t>
            </w:r>
            <w:r w:rsidRPr="006361F6">
              <w:rPr>
                <w:rFonts w:ascii="Arial" w:hAnsi="Arial" w:cs="Arial"/>
              </w:rPr>
              <w:t xml:space="preserve"> </w:t>
            </w:r>
            <w:r w:rsidR="006361F6" w:rsidRPr="004F1DDF">
              <w:rPr>
                <w:rFonts w:ascii="Arial" w:hAnsi="Arial" w:cs="Arial"/>
              </w:rPr>
              <w:t>wzmocnieniu wybranych aspektów rozwoju zawodowego, wzmocnieniu motywacji lub wsparciu w procesie zmian zawodowych</w:t>
            </w:r>
            <w:r w:rsidR="005B5587">
              <w:rPr>
                <w:rFonts w:ascii="Arial" w:hAnsi="Arial" w:cs="Arial"/>
              </w:rPr>
              <w:t>.</w:t>
            </w:r>
          </w:p>
          <w:p w14:paraId="5E00FDA7" w14:textId="44F969FC" w:rsidR="001A0045" w:rsidRDefault="006361F6" w:rsidP="00130AE2">
            <w:pPr>
              <w:pStyle w:val="Akapitzlist"/>
              <w:numPr>
                <w:ilvl w:val="0"/>
                <w:numId w:val="21"/>
              </w:numPr>
              <w:tabs>
                <w:tab w:val="left" w:pos="312"/>
              </w:tabs>
              <w:spacing w:before="60" w:after="120" w:line="23" w:lineRule="atLeast"/>
              <w:ind w:left="312" w:hanging="312"/>
              <w:contextualSpacing w:val="0"/>
              <w:rPr>
                <w:rStyle w:val="hgkelc"/>
                <w:rFonts w:ascii="Arial" w:hAnsi="Arial" w:cs="Arial"/>
              </w:rPr>
            </w:pPr>
            <w:r w:rsidRPr="004F1DDF">
              <w:rPr>
                <w:rFonts w:ascii="Arial" w:hAnsi="Arial" w:cs="Arial"/>
              </w:rPr>
              <w:t xml:space="preserve">Wydatek może być uznany za kwalifikowalny, o ile jest to uzasadnione specyfiką realizowanego projektu, a </w:t>
            </w:r>
            <w:r w:rsidR="00303A9A">
              <w:rPr>
                <w:rFonts w:ascii="Arial" w:hAnsi="Arial" w:cs="Arial"/>
              </w:rPr>
              <w:t>trener</w:t>
            </w:r>
            <w:r w:rsidRPr="004F1DDF">
              <w:rPr>
                <w:rFonts w:ascii="Arial" w:hAnsi="Arial" w:cs="Arial"/>
              </w:rPr>
              <w:t xml:space="preserve"> posiada  </w:t>
            </w:r>
            <w:r w:rsidRPr="004F1DDF">
              <w:rPr>
                <w:rStyle w:val="hgkelc"/>
                <w:rFonts w:ascii="Arial" w:hAnsi="Arial" w:cs="Arial"/>
              </w:rPr>
              <w:t>wykształcenie wyższe, optymalnie w zakresie nauk społecznych</w:t>
            </w:r>
            <w:r w:rsidR="00303A9A">
              <w:rPr>
                <w:rStyle w:val="hgkelc"/>
                <w:rFonts w:ascii="Arial" w:hAnsi="Arial" w:cs="Arial"/>
              </w:rPr>
              <w:t xml:space="preserve"> i co najmniej 2 letnie </w:t>
            </w:r>
            <w:r w:rsidR="00303A9A" w:rsidRPr="009259A2">
              <w:rPr>
                <w:rFonts w:ascii="Arial" w:hAnsi="Arial" w:cs="Arial"/>
              </w:rPr>
              <w:t>doświadczenie zawodowe</w:t>
            </w:r>
            <w:r w:rsidR="00303A9A">
              <w:rPr>
                <w:rFonts w:ascii="Arial" w:hAnsi="Arial" w:cs="Arial"/>
              </w:rPr>
              <w:t xml:space="preserve"> w coachingu indywidualnym.</w:t>
            </w:r>
          </w:p>
          <w:p w14:paraId="10C3B254" w14:textId="77777777" w:rsidR="00130AE2" w:rsidRDefault="001A0045" w:rsidP="00130AE2">
            <w:pPr>
              <w:pStyle w:val="Akapitzlist"/>
              <w:numPr>
                <w:ilvl w:val="0"/>
                <w:numId w:val="21"/>
              </w:numPr>
              <w:tabs>
                <w:tab w:val="left" w:pos="312"/>
              </w:tabs>
              <w:spacing w:before="60" w:after="120" w:line="23" w:lineRule="atLeast"/>
              <w:ind w:left="312" w:hanging="312"/>
              <w:contextualSpacing w:val="0"/>
              <w:rPr>
                <w:rFonts w:ascii="Arial" w:hAnsi="Arial" w:cs="Arial"/>
              </w:rPr>
            </w:pPr>
            <w:r w:rsidRPr="004F1DDF">
              <w:rPr>
                <w:rFonts w:ascii="Arial" w:hAnsi="Arial" w:cs="Arial"/>
              </w:rPr>
              <w:t>Liczba godzin pomocy powinna być uzależniona od indywidulanych potrzeb klienta.</w:t>
            </w:r>
          </w:p>
          <w:p w14:paraId="78586BE9" w14:textId="5F1A588B" w:rsidR="006361F6" w:rsidRPr="004F1DDF" w:rsidRDefault="001A0045" w:rsidP="00130AE2">
            <w:pPr>
              <w:pStyle w:val="Akapitzlist"/>
              <w:numPr>
                <w:ilvl w:val="0"/>
                <w:numId w:val="21"/>
              </w:numPr>
              <w:tabs>
                <w:tab w:val="left" w:pos="312"/>
              </w:tabs>
              <w:spacing w:before="60" w:after="120" w:line="23" w:lineRule="atLeast"/>
              <w:ind w:left="312" w:hanging="312"/>
              <w:contextualSpacing w:val="0"/>
              <w:rPr>
                <w:rFonts w:ascii="Arial" w:hAnsi="Arial" w:cs="Arial"/>
              </w:rPr>
            </w:pPr>
            <w:r w:rsidRPr="00130AE2">
              <w:rPr>
                <w:rFonts w:ascii="Arial" w:hAnsi="Arial" w:cs="Arial"/>
                <w:color w:val="000000" w:themeColor="text1"/>
              </w:rPr>
              <w:t>Podstawowym standardem wsparcia jest określenie czasu trwania wsparcia podanego w godzinach. Przy czym 1 godzinę wsparcia należy rozumieć jako 60 min.</w:t>
            </w:r>
          </w:p>
        </w:tc>
        <w:tc>
          <w:tcPr>
            <w:tcW w:w="1985" w:type="dxa"/>
          </w:tcPr>
          <w:p w14:paraId="7330BF34" w14:textId="406E04EE" w:rsidR="00CE3CDF" w:rsidRDefault="00AB3226" w:rsidP="003A7E78">
            <w:pPr>
              <w:spacing w:before="60" w:line="23" w:lineRule="atLeast"/>
              <w:rPr>
                <w:rFonts w:ascii="Arial" w:hAnsi="Arial" w:cs="Arial"/>
              </w:rPr>
            </w:pPr>
            <w:r>
              <w:rPr>
                <w:rFonts w:ascii="Arial" w:hAnsi="Arial" w:cs="Arial"/>
                <w:color w:val="000000" w:themeColor="text1"/>
              </w:rPr>
              <w:t xml:space="preserve">- w </w:t>
            </w:r>
            <w:r w:rsidRPr="008260A2">
              <w:rPr>
                <w:rFonts w:ascii="Arial" w:hAnsi="Arial" w:cs="Arial"/>
                <w:color w:val="000000" w:themeColor="text1"/>
              </w:rPr>
              <w:t xml:space="preserve">przypadku umowy o pracę, kwota wynagrodzenia </w:t>
            </w:r>
            <w:r>
              <w:rPr>
                <w:rFonts w:ascii="Arial" w:hAnsi="Arial" w:cs="Arial"/>
                <w:color w:val="000000" w:themeColor="text1"/>
              </w:rPr>
              <w:t xml:space="preserve">nie może przekroczyć kwoty wynagrodzenia pracowników beneficjenta </w:t>
            </w:r>
            <w:r w:rsidRPr="001D7941">
              <w:rPr>
                <w:rFonts w:ascii="Arial" w:hAnsi="Arial" w:cs="Arial"/>
                <w:bCs/>
                <w:color w:val="000000" w:themeColor="text1"/>
              </w:rPr>
              <w:t>na analogicznych stanowiskach lub na stanowiskach wymagających analogicznych kwalifikacji</w:t>
            </w:r>
            <w:r>
              <w:rPr>
                <w:rFonts w:ascii="Arial" w:hAnsi="Arial" w:cs="Arial"/>
                <w:b/>
                <w:color w:val="000000" w:themeColor="text1"/>
              </w:rPr>
              <w:t xml:space="preserve"> </w:t>
            </w:r>
            <w:r w:rsidRPr="008260A2">
              <w:rPr>
                <w:rFonts w:ascii="Arial" w:hAnsi="Arial" w:cs="Arial"/>
                <w:color w:val="000000" w:themeColor="text1"/>
              </w:rPr>
              <w:t xml:space="preserve">lub </w:t>
            </w:r>
            <w:r>
              <w:rPr>
                <w:rFonts w:ascii="Arial" w:hAnsi="Arial" w:cs="Arial"/>
                <w:color w:val="000000" w:themeColor="text1"/>
              </w:rPr>
              <w:t>kwoty wynikającej z </w:t>
            </w:r>
            <w:r w:rsidRPr="008260A2">
              <w:rPr>
                <w:rFonts w:ascii="Arial" w:hAnsi="Arial" w:cs="Arial"/>
                <w:color w:val="000000" w:themeColor="text1"/>
              </w:rPr>
              <w:t>przepisów prawa w</w:t>
            </w:r>
            <w:r>
              <w:rPr>
                <w:rFonts w:ascii="Arial" w:hAnsi="Arial" w:cs="Arial"/>
                <w:color w:val="000000" w:themeColor="text1"/>
              </w:rPr>
              <w:t> </w:t>
            </w:r>
            <w:r w:rsidRPr="008260A2">
              <w:rPr>
                <w:rFonts w:ascii="Arial" w:hAnsi="Arial" w:cs="Arial"/>
                <w:color w:val="000000" w:themeColor="text1"/>
              </w:rPr>
              <w:t xml:space="preserve">rozumieniu art. 9 §1 </w:t>
            </w:r>
            <w:r w:rsidRPr="00406EEB">
              <w:rPr>
                <w:rFonts w:ascii="Arial" w:hAnsi="Arial" w:cs="Arial"/>
                <w:iCs/>
                <w:color w:val="000000" w:themeColor="text1"/>
              </w:rPr>
              <w:t>Kodeksu pracy</w:t>
            </w:r>
            <w:r w:rsidRPr="008260A2">
              <w:rPr>
                <w:rFonts w:ascii="Arial" w:hAnsi="Arial" w:cs="Arial"/>
                <w:color w:val="000000" w:themeColor="text1"/>
              </w:rPr>
              <w:t xml:space="preserve"> lub statystyki publicznej</w:t>
            </w:r>
            <w:r>
              <w:rPr>
                <w:rFonts w:ascii="Arial" w:hAnsi="Arial" w:cs="Arial"/>
                <w:color w:val="000000" w:themeColor="text1"/>
              </w:rPr>
              <w:t>.</w:t>
            </w:r>
          </w:p>
        </w:tc>
      </w:tr>
      <w:tr w:rsidR="008A4DEB" w:rsidRPr="002A6E79" w14:paraId="666A17EF" w14:textId="77777777" w:rsidTr="008C13FF">
        <w:tc>
          <w:tcPr>
            <w:tcW w:w="1838" w:type="dxa"/>
          </w:tcPr>
          <w:p w14:paraId="62479EAB" w14:textId="486D537D" w:rsidR="008A4DEB" w:rsidRPr="002A6E79" w:rsidRDefault="00440EFF" w:rsidP="003A7E78">
            <w:pPr>
              <w:spacing w:before="60" w:line="23" w:lineRule="atLeast"/>
              <w:rPr>
                <w:rFonts w:ascii="Arial" w:hAnsi="Arial" w:cs="Arial"/>
                <w:color w:val="FF0000"/>
              </w:rPr>
            </w:pPr>
            <w:r>
              <w:rPr>
                <w:rFonts w:ascii="Arial" w:hAnsi="Arial" w:cs="Arial"/>
                <w:color w:val="000000" w:themeColor="text1"/>
              </w:rPr>
              <w:lastRenderedPageBreak/>
              <w:t>Kurs/</w:t>
            </w:r>
            <w:r w:rsidR="008A4DEB" w:rsidRPr="00440EFF">
              <w:rPr>
                <w:rFonts w:ascii="Arial" w:hAnsi="Arial" w:cs="Arial"/>
                <w:color w:val="000000" w:themeColor="text1"/>
              </w:rPr>
              <w:t>Szkolenie</w:t>
            </w:r>
            <w:r>
              <w:rPr>
                <w:rFonts w:ascii="Arial" w:hAnsi="Arial" w:cs="Arial"/>
                <w:color w:val="000000" w:themeColor="text1"/>
              </w:rPr>
              <w:t xml:space="preserve"> zawodowe</w:t>
            </w:r>
          </w:p>
        </w:tc>
        <w:tc>
          <w:tcPr>
            <w:tcW w:w="6237" w:type="dxa"/>
          </w:tcPr>
          <w:p w14:paraId="71ACA3C0" w14:textId="15EB38D1" w:rsidR="00440EFF" w:rsidRDefault="008A4DEB" w:rsidP="00130AE2">
            <w:pPr>
              <w:pStyle w:val="Akapitzlist"/>
              <w:numPr>
                <w:ilvl w:val="0"/>
                <w:numId w:val="13"/>
              </w:numPr>
              <w:tabs>
                <w:tab w:val="left" w:pos="312"/>
              </w:tabs>
              <w:spacing w:before="60" w:after="120" w:line="23" w:lineRule="atLeast"/>
              <w:ind w:left="312" w:hanging="284"/>
              <w:contextualSpacing w:val="0"/>
              <w:rPr>
                <w:rFonts w:ascii="Arial" w:hAnsi="Arial" w:cs="Arial"/>
                <w:color w:val="000000" w:themeColor="text1"/>
              </w:rPr>
            </w:pPr>
            <w:r w:rsidRPr="00440EFF">
              <w:rPr>
                <w:rFonts w:ascii="Arial" w:hAnsi="Arial" w:cs="Arial"/>
                <w:color w:val="000000" w:themeColor="text1"/>
              </w:rPr>
              <w:t>Szkolenia są zgodne ze zdiagnozowanymi potrzebami</w:t>
            </w:r>
            <w:r w:rsidR="0004466D">
              <w:rPr>
                <w:rFonts w:ascii="Arial" w:hAnsi="Arial" w:cs="Arial"/>
                <w:color w:val="000000" w:themeColor="text1"/>
              </w:rPr>
              <w:t xml:space="preserve"> </w:t>
            </w:r>
            <w:r w:rsidRPr="00440EFF">
              <w:rPr>
                <w:rFonts w:ascii="Arial" w:hAnsi="Arial" w:cs="Arial"/>
                <w:color w:val="000000" w:themeColor="text1"/>
              </w:rPr>
              <w:t>i</w:t>
            </w:r>
            <w:r w:rsidR="0004466D">
              <w:rPr>
                <w:rFonts w:ascii="Arial" w:hAnsi="Arial" w:cs="Arial"/>
                <w:color w:val="000000" w:themeColor="text1"/>
              </w:rPr>
              <w:t> </w:t>
            </w:r>
            <w:r w:rsidRPr="00440EFF">
              <w:rPr>
                <w:rFonts w:ascii="Arial" w:hAnsi="Arial" w:cs="Arial"/>
                <w:color w:val="000000" w:themeColor="text1"/>
              </w:rPr>
              <w:t>potencjałem uczestnika projektu oraz odpowiada</w:t>
            </w:r>
            <w:r w:rsidR="00BC2A72" w:rsidRPr="00440EFF">
              <w:rPr>
                <w:rFonts w:ascii="Arial" w:hAnsi="Arial" w:cs="Arial"/>
                <w:color w:val="000000" w:themeColor="text1"/>
              </w:rPr>
              <w:t>ją</w:t>
            </w:r>
            <w:r w:rsidRPr="00440EFF">
              <w:rPr>
                <w:rFonts w:ascii="Arial" w:hAnsi="Arial" w:cs="Arial"/>
                <w:color w:val="000000" w:themeColor="text1"/>
              </w:rPr>
              <w:t xml:space="preserve"> na potrzeby lokalnego i regionalnego rynku pracy.</w:t>
            </w:r>
          </w:p>
          <w:p w14:paraId="396ECED9" w14:textId="77777777" w:rsidR="00440EFF" w:rsidRDefault="008A4DEB" w:rsidP="00130AE2">
            <w:pPr>
              <w:pStyle w:val="Akapitzlist"/>
              <w:numPr>
                <w:ilvl w:val="0"/>
                <w:numId w:val="13"/>
              </w:numPr>
              <w:tabs>
                <w:tab w:val="left" w:pos="312"/>
              </w:tabs>
              <w:spacing w:after="120" w:line="23" w:lineRule="atLeast"/>
              <w:ind w:left="312" w:hanging="284"/>
              <w:contextualSpacing w:val="0"/>
              <w:rPr>
                <w:rFonts w:ascii="Arial" w:hAnsi="Arial" w:cs="Arial"/>
                <w:color w:val="000000" w:themeColor="text1"/>
              </w:rPr>
            </w:pPr>
            <w:r w:rsidRPr="00440EFF">
              <w:rPr>
                <w:rFonts w:ascii="Arial" w:hAnsi="Arial" w:cs="Arial"/>
                <w:color w:val="000000" w:themeColor="text1"/>
              </w:rPr>
              <w:t>Usługi szkoleniowe są realizowane przez instytucje posiadające wpis do Rejestrów Instytucji Szkoleniowych prowadzonych przez Wojewódzkie Urzędy Pracy.</w:t>
            </w:r>
          </w:p>
          <w:p w14:paraId="64349E81" w14:textId="2C2F03F1" w:rsidR="00440EFF" w:rsidRDefault="008A4DEB" w:rsidP="00130AE2">
            <w:pPr>
              <w:pStyle w:val="Akapitzlist"/>
              <w:numPr>
                <w:ilvl w:val="0"/>
                <w:numId w:val="13"/>
              </w:numPr>
              <w:tabs>
                <w:tab w:val="left" w:pos="312"/>
              </w:tabs>
              <w:spacing w:after="120" w:line="23" w:lineRule="atLeast"/>
              <w:ind w:left="312" w:hanging="284"/>
              <w:contextualSpacing w:val="0"/>
              <w:rPr>
                <w:rFonts w:ascii="Arial" w:hAnsi="Arial" w:cs="Arial"/>
                <w:color w:val="000000" w:themeColor="text1"/>
              </w:rPr>
            </w:pPr>
            <w:r w:rsidRPr="00440EFF">
              <w:rPr>
                <w:rFonts w:ascii="Arial" w:hAnsi="Arial" w:cs="Arial"/>
                <w:color w:val="000000" w:themeColor="text1"/>
              </w:rPr>
              <w:t>Efektem szkolenia ma być nabycie kwalifikacji lub kompetencji potwierdzonych odpowiednim dokumentem</w:t>
            </w:r>
            <w:r w:rsidR="0004466D">
              <w:rPr>
                <w:rFonts w:ascii="Arial" w:hAnsi="Arial" w:cs="Arial"/>
                <w:color w:val="000000" w:themeColor="text1"/>
              </w:rPr>
              <w:t xml:space="preserve"> </w:t>
            </w:r>
            <w:r w:rsidRPr="00440EFF">
              <w:rPr>
                <w:rFonts w:ascii="Arial" w:hAnsi="Arial" w:cs="Arial"/>
                <w:color w:val="000000" w:themeColor="text1"/>
              </w:rPr>
              <w:t>(np. certyfikatem, zaświadczeniem).</w:t>
            </w:r>
          </w:p>
          <w:p w14:paraId="78CB22AC" w14:textId="5867535E" w:rsidR="00440EFF" w:rsidRPr="0004466D" w:rsidRDefault="008A4DEB" w:rsidP="00130AE2">
            <w:pPr>
              <w:pStyle w:val="Akapitzlist"/>
              <w:numPr>
                <w:ilvl w:val="0"/>
                <w:numId w:val="13"/>
              </w:numPr>
              <w:tabs>
                <w:tab w:val="left" w:pos="312"/>
              </w:tabs>
              <w:spacing w:after="120" w:line="23" w:lineRule="atLeast"/>
              <w:ind w:left="312" w:hanging="284"/>
              <w:contextualSpacing w:val="0"/>
              <w:rPr>
                <w:rFonts w:ascii="Arial" w:hAnsi="Arial" w:cs="Arial"/>
              </w:rPr>
            </w:pPr>
            <w:r w:rsidRPr="00440EFF">
              <w:rPr>
                <w:rFonts w:ascii="Arial" w:hAnsi="Arial" w:cs="Arial"/>
                <w:color w:val="000000" w:themeColor="text1"/>
              </w:rPr>
              <w:t>Nabycie kwalifikacji lub kompetencji jest weryfikowane</w:t>
            </w:r>
            <w:r w:rsidR="0004466D">
              <w:rPr>
                <w:rFonts w:ascii="Arial" w:hAnsi="Arial" w:cs="Arial"/>
                <w:color w:val="000000" w:themeColor="text1"/>
              </w:rPr>
              <w:t xml:space="preserve"> </w:t>
            </w:r>
            <w:r w:rsidRPr="00440EFF">
              <w:rPr>
                <w:rFonts w:ascii="Arial" w:hAnsi="Arial" w:cs="Arial"/>
                <w:color w:val="000000" w:themeColor="text1"/>
              </w:rPr>
              <w:t>i</w:t>
            </w:r>
            <w:r w:rsidR="0004466D">
              <w:rPr>
                <w:rFonts w:ascii="Arial" w:hAnsi="Arial" w:cs="Arial"/>
                <w:color w:val="000000" w:themeColor="text1"/>
              </w:rPr>
              <w:t> </w:t>
            </w:r>
            <w:r w:rsidRPr="00440EFF">
              <w:rPr>
                <w:rFonts w:ascii="Arial" w:hAnsi="Arial" w:cs="Arial"/>
                <w:color w:val="000000" w:themeColor="text1"/>
              </w:rPr>
              <w:t>potwierdzone zgodnie z zasadami wskazanymi w załączniku nr 2 „Podstawowe informacje dotyczące uzyskiwania kwalifikacji w ramach projektów współfinansowanych z</w:t>
            </w:r>
            <w:r w:rsidR="0004466D">
              <w:rPr>
                <w:rFonts w:ascii="Arial" w:hAnsi="Arial" w:cs="Arial"/>
                <w:color w:val="000000" w:themeColor="text1"/>
              </w:rPr>
              <w:t> </w:t>
            </w:r>
            <w:r w:rsidRPr="00440EFF">
              <w:rPr>
                <w:rFonts w:ascii="Arial" w:hAnsi="Arial" w:cs="Arial"/>
                <w:color w:val="000000" w:themeColor="text1"/>
              </w:rPr>
              <w:t>Europejskiego Funduszu Społecznego Plus” do Wytycznych dotyczących monitorowania postępu rzeczowego realizacji programów na lata 2021-2027.</w:t>
            </w:r>
          </w:p>
          <w:p w14:paraId="60404B52" w14:textId="7137818B" w:rsidR="00440EFF" w:rsidRPr="00F404D9" w:rsidRDefault="008A4DEB" w:rsidP="00130AE2">
            <w:pPr>
              <w:pStyle w:val="Akapitzlist"/>
              <w:numPr>
                <w:ilvl w:val="0"/>
                <w:numId w:val="13"/>
              </w:numPr>
              <w:tabs>
                <w:tab w:val="left" w:pos="312"/>
              </w:tabs>
              <w:spacing w:after="120" w:line="23" w:lineRule="atLeast"/>
              <w:ind w:left="312" w:hanging="284"/>
              <w:contextualSpacing w:val="0"/>
              <w:rPr>
                <w:rFonts w:ascii="Arial" w:hAnsi="Arial" w:cs="Arial"/>
                <w:color w:val="000000" w:themeColor="text1"/>
              </w:rPr>
            </w:pPr>
            <w:r w:rsidRPr="00F404D9">
              <w:rPr>
                <w:rFonts w:ascii="Arial" w:hAnsi="Arial" w:cs="Arial"/>
                <w:color w:val="000000" w:themeColor="text1"/>
              </w:rPr>
              <w:t>Wydatek jest kwalifikowalny, o ile został udokumentowany przebieg szkolenia oraz jego efekty z wykorzystaniem np. harmonogramu zajęć, listy obecności, dziennika zajęć, dokumentacji egzaminacyjnej (np. wyniki testów wraz ze skalą punktową), certyfikatów, ankiet oceniających jakość</w:t>
            </w:r>
            <w:r w:rsidR="0004466D">
              <w:rPr>
                <w:rFonts w:ascii="Arial" w:hAnsi="Arial" w:cs="Arial"/>
                <w:color w:val="000000" w:themeColor="text1"/>
              </w:rPr>
              <w:t xml:space="preserve"> </w:t>
            </w:r>
            <w:r w:rsidRPr="00F404D9">
              <w:rPr>
                <w:rFonts w:ascii="Arial" w:hAnsi="Arial" w:cs="Arial"/>
                <w:color w:val="000000" w:themeColor="text1"/>
              </w:rPr>
              <w:t>i</w:t>
            </w:r>
            <w:r w:rsidR="0004466D">
              <w:rPr>
                <w:rFonts w:ascii="Arial" w:hAnsi="Arial" w:cs="Arial"/>
                <w:color w:val="000000" w:themeColor="text1"/>
              </w:rPr>
              <w:t> </w:t>
            </w:r>
            <w:r w:rsidRPr="00F404D9">
              <w:rPr>
                <w:rFonts w:ascii="Arial" w:hAnsi="Arial" w:cs="Arial"/>
                <w:color w:val="000000" w:themeColor="text1"/>
              </w:rPr>
              <w:t>przydatność szkolenia).</w:t>
            </w:r>
          </w:p>
          <w:p w14:paraId="3E0046EC" w14:textId="41A1F301" w:rsidR="00440EFF" w:rsidRPr="00F404D9" w:rsidRDefault="008A4DEB" w:rsidP="00130AE2">
            <w:pPr>
              <w:pStyle w:val="Akapitzlist"/>
              <w:numPr>
                <w:ilvl w:val="0"/>
                <w:numId w:val="13"/>
              </w:numPr>
              <w:tabs>
                <w:tab w:val="left" w:pos="312"/>
              </w:tabs>
              <w:spacing w:after="120" w:line="23" w:lineRule="atLeast"/>
              <w:ind w:left="312" w:hanging="284"/>
              <w:contextualSpacing w:val="0"/>
              <w:rPr>
                <w:rFonts w:ascii="Arial" w:hAnsi="Arial" w:cs="Arial"/>
                <w:color w:val="000000" w:themeColor="text1"/>
              </w:rPr>
            </w:pPr>
            <w:r w:rsidRPr="00F404D9">
              <w:rPr>
                <w:rFonts w:ascii="Arial" w:hAnsi="Arial" w:cs="Arial"/>
                <w:color w:val="000000" w:themeColor="text1"/>
              </w:rPr>
              <w:t>Podstawowym standardem wsparcia jest określenie czasu trwania szkolenia podanego w godzinach. Przy czym 1 godzinę szkolenia należy rozumieć jako 45 min.</w:t>
            </w:r>
            <w:r w:rsidR="0004466D">
              <w:rPr>
                <w:rFonts w:ascii="Arial" w:hAnsi="Arial" w:cs="Arial"/>
                <w:color w:val="000000" w:themeColor="text1"/>
              </w:rPr>
              <w:t xml:space="preserve"> K</w:t>
            </w:r>
            <w:r w:rsidRPr="00F404D9">
              <w:rPr>
                <w:rFonts w:ascii="Arial" w:hAnsi="Arial" w:cs="Arial"/>
                <w:color w:val="000000" w:themeColor="text1"/>
              </w:rPr>
              <w:t>oszt</w:t>
            </w:r>
            <w:r w:rsidR="00440EFF" w:rsidRPr="00F404D9">
              <w:rPr>
                <w:rFonts w:ascii="Arial" w:hAnsi="Arial" w:cs="Arial"/>
                <w:color w:val="000000" w:themeColor="text1"/>
              </w:rPr>
              <w:t xml:space="preserve"> szkolenia</w:t>
            </w:r>
            <w:r w:rsidRPr="00F404D9">
              <w:rPr>
                <w:rFonts w:ascii="Arial" w:hAnsi="Arial" w:cs="Arial"/>
                <w:color w:val="000000" w:themeColor="text1"/>
              </w:rPr>
              <w:t xml:space="preserve"> nie obejmuj</w:t>
            </w:r>
            <w:r w:rsidR="00440EFF" w:rsidRPr="00F404D9">
              <w:rPr>
                <w:rFonts w:ascii="Arial" w:hAnsi="Arial" w:cs="Arial"/>
                <w:color w:val="000000" w:themeColor="text1"/>
              </w:rPr>
              <w:t>e</w:t>
            </w:r>
            <w:r w:rsidRPr="00F404D9">
              <w:rPr>
                <w:rFonts w:ascii="Arial" w:hAnsi="Arial" w:cs="Arial"/>
                <w:color w:val="000000" w:themeColor="text1"/>
              </w:rPr>
              <w:t xml:space="preserve"> kosztów egzaminów zewnętrznych / certyfikatów oraz badań lekarskich</w:t>
            </w:r>
            <w:r w:rsidR="00440EFF" w:rsidRPr="00F404D9">
              <w:rPr>
                <w:rFonts w:ascii="Arial" w:hAnsi="Arial" w:cs="Arial"/>
                <w:color w:val="000000" w:themeColor="text1"/>
              </w:rPr>
              <w:t>.</w:t>
            </w:r>
          </w:p>
          <w:p w14:paraId="3892ABA1" w14:textId="0BC06E43" w:rsidR="00440EFF" w:rsidRPr="00F404D9" w:rsidRDefault="008A4DEB" w:rsidP="00130AE2">
            <w:pPr>
              <w:pStyle w:val="Akapitzlist"/>
              <w:numPr>
                <w:ilvl w:val="0"/>
                <w:numId w:val="13"/>
              </w:numPr>
              <w:tabs>
                <w:tab w:val="left" w:pos="312"/>
              </w:tabs>
              <w:spacing w:after="120" w:line="23" w:lineRule="atLeast"/>
              <w:ind w:left="312" w:hanging="284"/>
              <w:contextualSpacing w:val="0"/>
              <w:rPr>
                <w:rFonts w:ascii="Arial" w:hAnsi="Arial" w:cs="Arial"/>
                <w:color w:val="000000" w:themeColor="text1"/>
              </w:rPr>
            </w:pPr>
            <w:r w:rsidRPr="00F404D9">
              <w:rPr>
                <w:rFonts w:ascii="Arial" w:hAnsi="Arial" w:cs="Arial"/>
                <w:color w:val="000000" w:themeColor="text1"/>
              </w:rPr>
              <w:t>Adekwatność stawki szkoleniowej będzie oceniania z</w:t>
            </w:r>
            <w:r w:rsidR="0004466D">
              <w:t> </w:t>
            </w:r>
            <w:r w:rsidRPr="00F404D9">
              <w:rPr>
                <w:rFonts w:ascii="Arial" w:hAnsi="Arial" w:cs="Arial"/>
                <w:color w:val="000000" w:themeColor="text1"/>
              </w:rPr>
              <w:t>uwzględnieniem tematyki szkoleń, liczby godzin szkoleniowych, liczebności grupy szkoleniowej, wymaganych specjalistycznych kwalifikacji trenera, itp.</w:t>
            </w:r>
          </w:p>
          <w:p w14:paraId="02B849E7" w14:textId="2F9C0FD3" w:rsidR="00440EFF" w:rsidRDefault="008A4DEB" w:rsidP="00130AE2">
            <w:pPr>
              <w:pStyle w:val="Akapitzlist"/>
              <w:numPr>
                <w:ilvl w:val="0"/>
                <w:numId w:val="13"/>
              </w:numPr>
              <w:tabs>
                <w:tab w:val="left" w:pos="312"/>
              </w:tabs>
              <w:spacing w:after="120" w:line="23" w:lineRule="atLeast"/>
              <w:ind w:left="312" w:hanging="284"/>
              <w:contextualSpacing w:val="0"/>
              <w:rPr>
                <w:rFonts w:ascii="Arial" w:hAnsi="Arial" w:cs="Arial"/>
                <w:color w:val="000000" w:themeColor="text1"/>
              </w:rPr>
            </w:pPr>
            <w:r w:rsidRPr="00440EFF">
              <w:rPr>
                <w:rFonts w:ascii="Arial" w:hAnsi="Arial" w:cs="Arial"/>
                <w:color w:val="000000" w:themeColor="text1"/>
              </w:rPr>
              <w:t>Osoby uczestniczące w szkoleniach podlegają obowiązkowo ubezpieczeni</w:t>
            </w:r>
            <w:r w:rsidR="00F404D9">
              <w:rPr>
                <w:rFonts w:ascii="Arial" w:hAnsi="Arial" w:cs="Arial"/>
                <w:color w:val="000000" w:themeColor="text1"/>
              </w:rPr>
              <w:t>u</w:t>
            </w:r>
            <w:r w:rsidRPr="00440EFF">
              <w:rPr>
                <w:rFonts w:ascii="Arial" w:hAnsi="Arial" w:cs="Arial"/>
                <w:color w:val="000000" w:themeColor="text1"/>
              </w:rPr>
              <w:t xml:space="preserve"> emerytaln</w:t>
            </w:r>
            <w:r w:rsidR="00F404D9">
              <w:rPr>
                <w:rFonts w:ascii="Arial" w:hAnsi="Arial" w:cs="Arial"/>
                <w:color w:val="000000" w:themeColor="text1"/>
              </w:rPr>
              <w:t>emu</w:t>
            </w:r>
            <w:r w:rsidRPr="00440EFF">
              <w:rPr>
                <w:rFonts w:ascii="Arial" w:hAnsi="Arial" w:cs="Arial"/>
                <w:color w:val="000000" w:themeColor="text1"/>
              </w:rPr>
              <w:t>, rentow</w:t>
            </w:r>
            <w:r w:rsidR="00F404D9">
              <w:rPr>
                <w:rFonts w:ascii="Arial" w:hAnsi="Arial" w:cs="Arial"/>
                <w:color w:val="000000" w:themeColor="text1"/>
              </w:rPr>
              <w:t>emu</w:t>
            </w:r>
            <w:r w:rsidRPr="00440EFF">
              <w:rPr>
                <w:rFonts w:ascii="Arial" w:hAnsi="Arial" w:cs="Arial"/>
                <w:color w:val="000000" w:themeColor="text1"/>
              </w:rPr>
              <w:t>, wypadkowemu i zdrowotnemu , jeśli nie mają innych tytułów powodujących obowiązek ubezpieczeń społecznych (art. 6</w:t>
            </w:r>
            <w:r w:rsidR="0004466D">
              <w:rPr>
                <w:rFonts w:ascii="Arial" w:hAnsi="Arial" w:cs="Arial"/>
                <w:color w:val="000000" w:themeColor="text1"/>
              </w:rPr>
              <w:t> </w:t>
            </w:r>
            <w:r w:rsidRPr="00440EFF">
              <w:rPr>
                <w:rFonts w:ascii="Arial" w:hAnsi="Arial" w:cs="Arial"/>
                <w:color w:val="000000" w:themeColor="text1"/>
              </w:rPr>
              <w:t>ust. 1 pkt 9a w związku z art. 9 ust. 6a oraz art. 12 ustawy z</w:t>
            </w:r>
            <w:r w:rsidR="0004466D">
              <w:rPr>
                <w:rFonts w:ascii="Arial" w:hAnsi="Arial" w:cs="Arial"/>
                <w:color w:val="000000" w:themeColor="text1"/>
              </w:rPr>
              <w:t> </w:t>
            </w:r>
            <w:r w:rsidRPr="00440EFF">
              <w:rPr>
                <w:rFonts w:ascii="Arial" w:hAnsi="Arial" w:cs="Arial"/>
                <w:color w:val="000000" w:themeColor="text1"/>
              </w:rPr>
              <w:t xml:space="preserve">dnia 13 października 1998 r. o systemie ubezpieczeń społecznych; art. 66 ust. 1 pkt 24a, art. 75 ust. 9a oraz art. 81 ust. 8 pkt 5a, art. 83 ust 2 oraz art. 85 ust. 6a ustawy z dnia 27 sierpnia 2004 r. o świadczeniach opieki zdrowotnej finansowanych ze środków publicznych). Płatnikiem składek za osoby uczestniczące w szkoleniach jest podmiot kierujący na </w:t>
            </w:r>
            <w:r w:rsidRPr="00440EFF">
              <w:rPr>
                <w:rFonts w:ascii="Arial" w:hAnsi="Arial" w:cs="Arial"/>
                <w:color w:val="000000" w:themeColor="text1"/>
              </w:rPr>
              <w:lastRenderedPageBreak/>
              <w:t>szkolenie. Koszt składek jest wydatkiem kwalifikowalnym w projekcie, który nie zawiera się w kwocie stypendium szkoleniowego.</w:t>
            </w:r>
          </w:p>
          <w:p w14:paraId="709EEA4C" w14:textId="06D50652" w:rsidR="00F404D9" w:rsidRPr="004F1DDF" w:rsidRDefault="008A4DEB" w:rsidP="00130AE2">
            <w:pPr>
              <w:pStyle w:val="Akapitzlist"/>
              <w:numPr>
                <w:ilvl w:val="0"/>
                <w:numId w:val="13"/>
              </w:numPr>
              <w:tabs>
                <w:tab w:val="left" w:pos="312"/>
              </w:tabs>
              <w:spacing w:after="120" w:line="23" w:lineRule="atLeast"/>
              <w:ind w:left="312" w:hanging="284"/>
              <w:contextualSpacing w:val="0"/>
              <w:rPr>
                <w:rFonts w:ascii="Arial" w:hAnsi="Arial" w:cs="Arial"/>
                <w:color w:val="000000" w:themeColor="text1"/>
              </w:rPr>
            </w:pPr>
            <w:r w:rsidRPr="00CD5FE0">
              <w:rPr>
                <w:rFonts w:ascii="Arial" w:hAnsi="Arial" w:cs="Arial"/>
                <w:color w:val="000000" w:themeColor="text1"/>
              </w:rPr>
              <w:t>Osoba zachowuje prawo do stypendium szkoleniowego</w:t>
            </w:r>
            <w:r w:rsidR="0004466D">
              <w:rPr>
                <w:rFonts w:ascii="Arial" w:hAnsi="Arial" w:cs="Arial"/>
                <w:color w:val="000000" w:themeColor="text1"/>
              </w:rPr>
              <w:t xml:space="preserve"> </w:t>
            </w:r>
            <w:r w:rsidRPr="00CD5FE0">
              <w:rPr>
                <w:rFonts w:ascii="Arial" w:hAnsi="Arial" w:cs="Arial"/>
                <w:color w:val="000000" w:themeColor="text1"/>
              </w:rPr>
              <w:t>za okres udokumentowanej niezdolności do odbywania szkolenia, przypadający w okresie jego trwania, za który na podstawie odrębnych przepisów pracownicy zachowują prawo do wynagrodzenia lub przysługują im zasiłki z</w:t>
            </w:r>
            <w:r w:rsidR="0004466D">
              <w:rPr>
                <w:rFonts w:ascii="Arial" w:hAnsi="Arial" w:cs="Arial"/>
                <w:color w:val="000000" w:themeColor="text1"/>
              </w:rPr>
              <w:t> </w:t>
            </w:r>
            <w:r w:rsidRPr="00CD5FE0">
              <w:rPr>
                <w:rFonts w:ascii="Arial" w:hAnsi="Arial" w:cs="Arial"/>
                <w:color w:val="000000" w:themeColor="text1"/>
              </w:rPr>
              <w:t>ubezpieczenia społecznego w razie choroby lub macierzyństwa.</w:t>
            </w:r>
          </w:p>
        </w:tc>
        <w:tc>
          <w:tcPr>
            <w:tcW w:w="1985" w:type="dxa"/>
            <w:vAlign w:val="center"/>
          </w:tcPr>
          <w:p w14:paraId="68225D09" w14:textId="697FBC7D" w:rsidR="00E634BE" w:rsidRDefault="00E634BE" w:rsidP="003A7E78">
            <w:pPr>
              <w:pStyle w:val="Akapitzlist"/>
              <w:numPr>
                <w:ilvl w:val="0"/>
                <w:numId w:val="14"/>
              </w:numPr>
              <w:tabs>
                <w:tab w:val="left" w:pos="244"/>
              </w:tabs>
              <w:spacing w:before="60" w:after="120" w:line="23" w:lineRule="atLeast"/>
              <w:ind w:left="34" w:hanging="34"/>
              <w:contextualSpacing w:val="0"/>
              <w:rPr>
                <w:rFonts w:ascii="Arial" w:hAnsi="Arial" w:cs="Arial"/>
                <w:color w:val="000000" w:themeColor="text1"/>
              </w:rPr>
            </w:pPr>
            <w:r w:rsidRPr="00E634BE">
              <w:rPr>
                <w:rFonts w:ascii="Arial" w:hAnsi="Arial" w:cs="Arial"/>
                <w:color w:val="000000" w:themeColor="text1"/>
              </w:rPr>
              <w:lastRenderedPageBreak/>
              <w:t xml:space="preserve">dopuszczalna w projekcie stawka </w:t>
            </w:r>
            <w:r>
              <w:rPr>
                <w:rFonts w:ascii="Arial" w:hAnsi="Arial" w:cs="Arial"/>
                <w:color w:val="000000" w:themeColor="text1"/>
              </w:rPr>
              <w:t>jest</w:t>
            </w:r>
            <w:r w:rsidRPr="00E634BE">
              <w:rPr>
                <w:rFonts w:ascii="Arial" w:hAnsi="Arial" w:cs="Arial"/>
                <w:color w:val="000000" w:themeColor="text1"/>
              </w:rPr>
              <w:t xml:space="preserve"> uzależniona od rodzaju/</w:t>
            </w:r>
            <w:r>
              <w:rPr>
                <w:rFonts w:ascii="Arial" w:hAnsi="Arial" w:cs="Arial"/>
                <w:color w:val="000000" w:themeColor="text1"/>
              </w:rPr>
              <w:t xml:space="preserve"> </w:t>
            </w:r>
            <w:r w:rsidRPr="00E634BE">
              <w:rPr>
                <w:rFonts w:ascii="Arial" w:hAnsi="Arial" w:cs="Arial"/>
                <w:color w:val="000000" w:themeColor="text1"/>
              </w:rPr>
              <w:t xml:space="preserve">tematyki </w:t>
            </w:r>
            <w:r>
              <w:rPr>
                <w:rFonts w:ascii="Arial" w:hAnsi="Arial" w:cs="Arial"/>
                <w:color w:val="000000" w:themeColor="text1"/>
              </w:rPr>
              <w:t>kursu</w:t>
            </w:r>
            <w:r w:rsidRPr="00E634BE">
              <w:rPr>
                <w:rFonts w:ascii="Arial" w:hAnsi="Arial" w:cs="Arial"/>
                <w:color w:val="000000" w:themeColor="text1"/>
              </w:rPr>
              <w:t>;</w:t>
            </w:r>
          </w:p>
          <w:p w14:paraId="1B8F6032" w14:textId="5A58E88F" w:rsidR="008A4DEB" w:rsidRPr="006A51B0" w:rsidRDefault="00E634BE" w:rsidP="0004466D">
            <w:pPr>
              <w:pStyle w:val="Akapitzlist"/>
              <w:numPr>
                <w:ilvl w:val="0"/>
                <w:numId w:val="14"/>
              </w:numPr>
              <w:tabs>
                <w:tab w:val="left" w:pos="244"/>
              </w:tabs>
              <w:spacing w:line="23" w:lineRule="atLeast"/>
              <w:ind w:left="36" w:hanging="36"/>
              <w:rPr>
                <w:rFonts w:ascii="Arial" w:hAnsi="Arial" w:cs="Arial"/>
                <w:color w:val="000000" w:themeColor="text1"/>
              </w:rPr>
            </w:pPr>
            <w:r>
              <w:rPr>
                <w:rFonts w:ascii="Arial" w:hAnsi="Arial" w:cs="Arial"/>
                <w:color w:val="000000" w:themeColor="text1"/>
              </w:rPr>
              <w:t>o</w:t>
            </w:r>
            <w:r w:rsidR="006A51B0" w:rsidRPr="00E634BE">
              <w:rPr>
                <w:rFonts w:ascii="Arial" w:hAnsi="Arial" w:cs="Arial"/>
                <w:color w:val="000000" w:themeColor="text1"/>
              </w:rPr>
              <w:t xml:space="preserve">sobom uczestniczącym w szkoleniach przysługuje </w:t>
            </w:r>
            <w:r w:rsidR="006A51B0" w:rsidRPr="00E634BE">
              <w:rPr>
                <w:rFonts w:ascii="Arial" w:hAnsi="Arial" w:cs="Arial"/>
                <w:b/>
                <w:bCs/>
                <w:color w:val="000000" w:themeColor="text1"/>
              </w:rPr>
              <w:t>stypendium szkoleniowe</w:t>
            </w:r>
            <w:r w:rsidR="006A51B0" w:rsidRPr="006A51B0">
              <w:rPr>
                <w:rStyle w:val="Odwoanieprzypisudolnego"/>
                <w:rFonts w:ascii="Arial" w:hAnsi="Arial" w:cs="Arial"/>
                <w:color w:val="000000" w:themeColor="text1"/>
              </w:rPr>
              <w:footnoteReference w:id="3"/>
            </w:r>
            <w:r w:rsidR="006A51B0" w:rsidRPr="00E634BE">
              <w:rPr>
                <w:rFonts w:ascii="Arial" w:hAnsi="Arial" w:cs="Arial"/>
                <w:color w:val="000000" w:themeColor="text1"/>
              </w:rPr>
              <w:t xml:space="preserve">, które miesięcznie wynosi </w:t>
            </w:r>
            <w:r w:rsidR="006A51B0" w:rsidRPr="00E634BE">
              <w:rPr>
                <w:rFonts w:ascii="Arial" w:hAnsi="Arial" w:cs="Arial"/>
                <w:b/>
                <w:bCs/>
                <w:color w:val="000000" w:themeColor="text1"/>
              </w:rPr>
              <w:t>120% zasiłku</w:t>
            </w:r>
            <w:r w:rsidR="006A51B0" w:rsidRPr="006A51B0">
              <w:rPr>
                <w:rStyle w:val="Odwoanieprzypisudolnego"/>
                <w:rFonts w:ascii="Arial" w:hAnsi="Arial" w:cs="Arial"/>
                <w:color w:val="000000" w:themeColor="text1"/>
              </w:rPr>
              <w:footnoteReference w:id="4"/>
            </w:r>
            <w:r w:rsidR="006A51B0" w:rsidRPr="00E634BE">
              <w:rPr>
                <w:rFonts w:ascii="Arial" w:hAnsi="Arial" w:cs="Arial"/>
                <w:color w:val="000000" w:themeColor="text1"/>
              </w:rPr>
              <w:t>, o</w:t>
            </w:r>
            <w:r w:rsidR="0004466D">
              <w:rPr>
                <w:rFonts w:ascii="Arial" w:hAnsi="Arial" w:cs="Arial"/>
                <w:color w:val="000000" w:themeColor="text1"/>
              </w:rPr>
              <w:t> </w:t>
            </w:r>
            <w:r w:rsidR="006A51B0" w:rsidRPr="00E634BE">
              <w:rPr>
                <w:rFonts w:ascii="Arial" w:hAnsi="Arial" w:cs="Arial"/>
                <w:color w:val="000000" w:themeColor="text1"/>
              </w:rPr>
              <w:t>którym mowa w art. 72 ust. 1 pkt 1 ustawy</w:t>
            </w:r>
            <w:r w:rsidR="0004466D">
              <w:rPr>
                <w:rFonts w:ascii="Arial" w:hAnsi="Arial" w:cs="Arial"/>
                <w:color w:val="000000" w:themeColor="text1"/>
              </w:rPr>
              <w:t xml:space="preserve"> </w:t>
            </w:r>
            <w:r w:rsidR="006A51B0" w:rsidRPr="00E634BE">
              <w:rPr>
                <w:rFonts w:ascii="Arial" w:hAnsi="Arial" w:cs="Arial"/>
                <w:color w:val="000000" w:themeColor="text1"/>
              </w:rPr>
              <w:t>o</w:t>
            </w:r>
            <w:r w:rsidR="0004466D">
              <w:rPr>
                <w:rFonts w:ascii="Arial" w:hAnsi="Arial" w:cs="Arial"/>
                <w:color w:val="000000" w:themeColor="text1"/>
              </w:rPr>
              <w:t> </w:t>
            </w:r>
            <w:r w:rsidR="006A51B0" w:rsidRPr="00E634BE">
              <w:rPr>
                <w:rFonts w:ascii="Arial" w:hAnsi="Arial" w:cs="Arial"/>
                <w:color w:val="000000" w:themeColor="text1"/>
              </w:rPr>
              <w:t>promocji zatrudnienia i instytucjach rynku pracy</w:t>
            </w:r>
            <w:r w:rsidR="006A51B0" w:rsidRPr="006A51B0">
              <w:rPr>
                <w:rStyle w:val="Odwoanieprzypisudolnego"/>
                <w:rFonts w:ascii="Arial" w:hAnsi="Arial" w:cs="Arial"/>
                <w:color w:val="000000" w:themeColor="text1"/>
              </w:rPr>
              <w:footnoteReference w:id="5"/>
            </w:r>
            <w:r w:rsidR="006A51B0" w:rsidRPr="00E634BE">
              <w:rPr>
                <w:rFonts w:ascii="Arial" w:hAnsi="Arial" w:cs="Arial"/>
                <w:color w:val="000000" w:themeColor="text1"/>
              </w:rPr>
              <w:t xml:space="preserve">, jeżeli miesięczna liczba godzin szkolenia wynosi </w:t>
            </w:r>
            <w:r w:rsidR="006A51B0" w:rsidRPr="00E634BE">
              <w:rPr>
                <w:rFonts w:ascii="Arial" w:hAnsi="Arial" w:cs="Arial"/>
                <w:b/>
                <w:bCs/>
                <w:color w:val="000000" w:themeColor="text1"/>
              </w:rPr>
              <w:t>co najmniej 150 godzin</w:t>
            </w:r>
            <w:r w:rsidR="006A51B0" w:rsidRPr="00E634BE">
              <w:rPr>
                <w:rFonts w:ascii="Arial" w:hAnsi="Arial" w:cs="Arial"/>
                <w:color w:val="000000" w:themeColor="text1"/>
              </w:rPr>
              <w:t>; w przypadku niższej miesięcznej liczby godzin szkolenia, wysokość stypendium szkoleniowego ustala się proporcjonalnie, z tym, że stypendium to nie może być niższe niż 20% zasiłku, o którym mowa w art. 72 ust. 1 pkt 1 ustawy</w:t>
            </w:r>
            <w:r w:rsidR="0004466D">
              <w:rPr>
                <w:rFonts w:ascii="Arial" w:hAnsi="Arial" w:cs="Arial"/>
                <w:color w:val="000000" w:themeColor="text1"/>
              </w:rPr>
              <w:t xml:space="preserve"> </w:t>
            </w:r>
            <w:r w:rsidR="006A51B0" w:rsidRPr="00E634BE">
              <w:rPr>
                <w:rFonts w:ascii="Arial" w:hAnsi="Arial" w:cs="Arial"/>
                <w:color w:val="000000" w:themeColor="text1"/>
              </w:rPr>
              <w:t>o</w:t>
            </w:r>
            <w:r w:rsidR="0004466D">
              <w:rPr>
                <w:rFonts w:ascii="Arial" w:hAnsi="Arial" w:cs="Arial"/>
                <w:color w:val="000000" w:themeColor="text1"/>
              </w:rPr>
              <w:t> </w:t>
            </w:r>
            <w:r w:rsidR="006A51B0" w:rsidRPr="00E634BE">
              <w:rPr>
                <w:rFonts w:ascii="Arial" w:hAnsi="Arial" w:cs="Arial"/>
                <w:color w:val="000000" w:themeColor="text1"/>
              </w:rPr>
              <w:t xml:space="preserve">promocji zatrudnienia </w:t>
            </w:r>
            <w:r w:rsidR="006A51B0" w:rsidRPr="00E634BE">
              <w:rPr>
                <w:rFonts w:ascii="Arial" w:hAnsi="Arial" w:cs="Arial"/>
                <w:color w:val="000000" w:themeColor="text1"/>
              </w:rPr>
              <w:lastRenderedPageBreak/>
              <w:t xml:space="preserve">i instytucjach rynku pracy. </w:t>
            </w:r>
          </w:p>
        </w:tc>
      </w:tr>
      <w:tr w:rsidR="00E92083" w:rsidRPr="00A21008" w14:paraId="61D3D517" w14:textId="77777777" w:rsidTr="002708BE">
        <w:tc>
          <w:tcPr>
            <w:tcW w:w="1838" w:type="dxa"/>
          </w:tcPr>
          <w:p w14:paraId="4CEC48D5" w14:textId="77777777" w:rsidR="00A21008" w:rsidRPr="00A21008" w:rsidRDefault="00A21008" w:rsidP="003A7E78">
            <w:pPr>
              <w:spacing w:before="60" w:line="23" w:lineRule="atLeast"/>
              <w:rPr>
                <w:rFonts w:ascii="Arial" w:hAnsi="Arial" w:cs="Arial"/>
              </w:rPr>
            </w:pPr>
            <w:r w:rsidRPr="00A21008">
              <w:rPr>
                <w:rFonts w:ascii="Arial" w:hAnsi="Arial" w:cs="Arial"/>
              </w:rPr>
              <w:lastRenderedPageBreak/>
              <w:t>Staż</w:t>
            </w:r>
            <w:r w:rsidRPr="00A21008">
              <w:rPr>
                <w:rStyle w:val="Odwoanieprzypisudolnego"/>
                <w:rFonts w:ascii="Arial" w:hAnsi="Arial" w:cs="Arial"/>
              </w:rPr>
              <w:footnoteReference w:id="6"/>
            </w:r>
          </w:p>
        </w:tc>
        <w:tc>
          <w:tcPr>
            <w:tcW w:w="6237" w:type="dxa"/>
          </w:tcPr>
          <w:p w14:paraId="1FB2F696" w14:textId="000356C4" w:rsidR="00A21008" w:rsidRPr="00E634BE" w:rsidRDefault="00A21008" w:rsidP="003A7E78">
            <w:pPr>
              <w:spacing w:before="60" w:after="120" w:line="23" w:lineRule="atLeast"/>
              <w:rPr>
                <w:rFonts w:ascii="Arial" w:hAnsi="Arial" w:cs="Arial"/>
                <w:color w:val="000000" w:themeColor="text1"/>
              </w:rPr>
            </w:pPr>
            <w:r w:rsidRPr="00E634BE">
              <w:rPr>
                <w:rFonts w:ascii="Arial" w:hAnsi="Arial" w:cs="Arial"/>
                <w:color w:val="000000" w:themeColor="text1"/>
              </w:rPr>
              <w:t xml:space="preserve">Staż jest to nabywanie przez uczestnika projektu umiejętności praktycznych do wykonywania pracy przez wykonywanie zadań w miejscu pracy bez nawiązywania stosunku pracy z pracodawcą. </w:t>
            </w:r>
          </w:p>
          <w:p w14:paraId="3F9CDA2D" w14:textId="50B03DAE" w:rsidR="00A21008" w:rsidRPr="00E634BE" w:rsidRDefault="00A21008" w:rsidP="00130AE2">
            <w:pPr>
              <w:numPr>
                <w:ilvl w:val="0"/>
                <w:numId w:val="4"/>
              </w:numPr>
              <w:tabs>
                <w:tab w:val="left" w:pos="312"/>
              </w:tabs>
              <w:spacing w:after="120" w:line="23" w:lineRule="atLeast"/>
              <w:ind w:left="312" w:hanging="284"/>
              <w:rPr>
                <w:rFonts w:ascii="Arial" w:hAnsi="Arial" w:cs="Arial"/>
                <w:color w:val="000000" w:themeColor="text1"/>
              </w:rPr>
            </w:pPr>
            <w:r w:rsidRPr="00E634BE">
              <w:rPr>
                <w:rFonts w:ascii="Arial" w:hAnsi="Arial" w:cs="Arial"/>
                <w:color w:val="000000" w:themeColor="text1"/>
              </w:rPr>
              <w:t>Wsparcie w postaci staży realizowane w ramach projektów jest zgodne z zaleceniem Rady z dnia 10 marca 2014 r. w sprawie ram jakości staży (Dz. Urz. UE C 88 z</w:t>
            </w:r>
            <w:r w:rsidR="0004466D">
              <w:rPr>
                <w:rFonts w:ascii="Arial" w:hAnsi="Arial" w:cs="Arial"/>
                <w:color w:val="000000" w:themeColor="text1"/>
              </w:rPr>
              <w:t> </w:t>
            </w:r>
            <w:r w:rsidRPr="00E634BE">
              <w:rPr>
                <w:rFonts w:ascii="Arial" w:hAnsi="Arial" w:cs="Arial"/>
                <w:color w:val="000000" w:themeColor="text1"/>
              </w:rPr>
              <w:t xml:space="preserve">27.03.2014, str. 1) oraz z </w:t>
            </w:r>
            <w:r w:rsidRPr="0004466D">
              <w:rPr>
                <w:rFonts w:ascii="Arial" w:hAnsi="Arial" w:cs="Arial"/>
                <w:color w:val="000000" w:themeColor="text1"/>
              </w:rPr>
              <w:t>Polskimi Ramami Jakości Praktyk</w:t>
            </w:r>
            <w:r w:rsidR="0004466D" w:rsidRPr="0004466D">
              <w:rPr>
                <w:rFonts w:ascii="Arial" w:hAnsi="Arial" w:cs="Arial"/>
                <w:color w:val="000000" w:themeColor="text1"/>
              </w:rPr>
              <w:t xml:space="preserve"> </w:t>
            </w:r>
            <w:r w:rsidRPr="0004466D">
              <w:rPr>
                <w:rFonts w:ascii="Arial" w:hAnsi="Arial" w:cs="Arial"/>
                <w:color w:val="000000" w:themeColor="text1"/>
              </w:rPr>
              <w:t>i Staży</w:t>
            </w:r>
            <w:r w:rsidRPr="00E634BE">
              <w:rPr>
                <w:rStyle w:val="Odwoanieprzypisudolnego"/>
                <w:rFonts w:ascii="Arial" w:hAnsi="Arial" w:cs="Arial"/>
                <w:color w:val="000000" w:themeColor="text1"/>
              </w:rPr>
              <w:footnoteReference w:id="7"/>
            </w:r>
            <w:r w:rsidRPr="00E634BE">
              <w:rPr>
                <w:rFonts w:ascii="Arial" w:hAnsi="Arial" w:cs="Arial"/>
                <w:color w:val="000000" w:themeColor="text1"/>
              </w:rPr>
              <w:t xml:space="preserve"> oraz spełnia podstawowe wymogi zapewniające wysoki standard stażu poprzez zapewnienie, iż:</w:t>
            </w:r>
          </w:p>
          <w:p w14:paraId="2B35CDB3" w14:textId="77777777" w:rsidR="00EA6151" w:rsidRPr="00E634BE" w:rsidRDefault="00A21008" w:rsidP="00130AE2">
            <w:pPr>
              <w:numPr>
                <w:ilvl w:val="2"/>
                <w:numId w:val="4"/>
              </w:numPr>
              <w:tabs>
                <w:tab w:val="left" w:pos="454"/>
              </w:tabs>
              <w:spacing w:after="60" w:line="23" w:lineRule="atLeast"/>
              <w:ind w:left="454" w:hanging="284"/>
              <w:rPr>
                <w:rFonts w:ascii="Arial" w:hAnsi="Arial" w:cs="Arial"/>
                <w:color w:val="000000" w:themeColor="text1"/>
              </w:rPr>
            </w:pPr>
            <w:r w:rsidRPr="00E634BE">
              <w:rPr>
                <w:rFonts w:ascii="Arial" w:hAnsi="Arial" w:cs="Arial"/>
                <w:color w:val="000000" w:themeColor="text1"/>
              </w:rPr>
              <w:t>staż odbywa się na podstawie pisemnej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434A07F5" w14:textId="358F9A8A" w:rsidR="00EA6151" w:rsidRPr="00E634BE" w:rsidRDefault="00A21008" w:rsidP="00130AE2">
            <w:pPr>
              <w:numPr>
                <w:ilvl w:val="2"/>
                <w:numId w:val="4"/>
              </w:numPr>
              <w:tabs>
                <w:tab w:val="left" w:pos="454"/>
              </w:tabs>
              <w:spacing w:after="60" w:line="23" w:lineRule="atLeast"/>
              <w:ind w:left="454" w:hanging="284"/>
              <w:rPr>
                <w:rFonts w:ascii="Arial" w:hAnsi="Arial" w:cs="Arial"/>
                <w:color w:val="000000" w:themeColor="text1"/>
              </w:rPr>
            </w:pPr>
            <w:r w:rsidRPr="00E634BE">
              <w:rPr>
                <w:rFonts w:ascii="Arial" w:hAnsi="Arial" w:cs="Arial"/>
                <w:color w:val="000000" w:themeColor="text1"/>
              </w:rPr>
              <w:t>zadania w ramach stażu są wykonywane zgodnie z</w:t>
            </w:r>
            <w:r w:rsidR="0004466D">
              <w:rPr>
                <w:rFonts w:ascii="Arial" w:hAnsi="Arial" w:cs="Arial"/>
                <w:color w:val="000000" w:themeColor="text1"/>
              </w:rPr>
              <w:t> </w:t>
            </w:r>
            <w:r w:rsidRPr="00E634BE">
              <w:rPr>
                <w:rFonts w:ascii="Arial" w:hAnsi="Arial" w:cs="Arial"/>
                <w:color w:val="000000" w:themeColor="text1"/>
              </w:rPr>
              <w:t>programem stażu, który jest przygotowany przez podmiot przyjmujący na staż we współpracy z organizatorem stażu</w:t>
            </w:r>
            <w:r w:rsidR="0004466D">
              <w:rPr>
                <w:rFonts w:ascii="Arial" w:hAnsi="Arial" w:cs="Arial"/>
                <w:color w:val="000000" w:themeColor="text1"/>
              </w:rPr>
              <w:t xml:space="preserve"> </w:t>
            </w:r>
            <w:r w:rsidRPr="00E634BE">
              <w:rPr>
                <w:rFonts w:ascii="Arial" w:hAnsi="Arial" w:cs="Arial"/>
                <w:color w:val="000000" w:themeColor="text1"/>
              </w:rPr>
              <w:t>i</w:t>
            </w:r>
            <w:r w:rsidR="0004466D">
              <w:rPr>
                <w:rFonts w:ascii="Arial" w:hAnsi="Arial" w:cs="Arial"/>
                <w:color w:val="000000" w:themeColor="text1"/>
              </w:rPr>
              <w:t> </w:t>
            </w:r>
            <w:r w:rsidRPr="00E634BE">
              <w:rPr>
                <w:rFonts w:ascii="Arial" w:hAnsi="Arial" w:cs="Arial"/>
                <w:color w:val="000000" w:themeColor="text1"/>
              </w:rPr>
              <w:t>przedkładany do podpisu stażysty. Program stażu jest opracowywany indywidualnie, z uwzględnieniem potrzeb</w:t>
            </w:r>
            <w:r w:rsidR="0004466D">
              <w:rPr>
                <w:rFonts w:ascii="Arial" w:hAnsi="Arial" w:cs="Arial"/>
                <w:color w:val="000000" w:themeColor="text1"/>
              </w:rPr>
              <w:t xml:space="preserve"> </w:t>
            </w:r>
            <w:r w:rsidRPr="00E634BE">
              <w:rPr>
                <w:rFonts w:ascii="Arial" w:hAnsi="Arial" w:cs="Arial"/>
                <w:color w:val="000000" w:themeColor="text1"/>
              </w:rPr>
              <w:t>i</w:t>
            </w:r>
            <w:r w:rsidR="0004466D">
              <w:rPr>
                <w:rFonts w:ascii="Arial" w:hAnsi="Arial" w:cs="Arial"/>
                <w:color w:val="000000" w:themeColor="text1"/>
              </w:rPr>
              <w:t> </w:t>
            </w:r>
            <w:r w:rsidRPr="00E634BE">
              <w:rPr>
                <w:rFonts w:ascii="Arial" w:hAnsi="Arial" w:cs="Arial"/>
                <w:color w:val="000000" w:themeColor="text1"/>
              </w:rPr>
              <w:t>potencjału stażysty;</w:t>
            </w:r>
          </w:p>
          <w:p w14:paraId="49BC9620" w14:textId="625B3643" w:rsidR="00EA6151" w:rsidRPr="00E634BE" w:rsidRDefault="00A21008" w:rsidP="00130AE2">
            <w:pPr>
              <w:numPr>
                <w:ilvl w:val="2"/>
                <w:numId w:val="4"/>
              </w:numPr>
              <w:tabs>
                <w:tab w:val="left" w:pos="454"/>
              </w:tabs>
              <w:spacing w:after="60" w:line="23" w:lineRule="atLeast"/>
              <w:ind w:left="454" w:hanging="284"/>
              <w:rPr>
                <w:rFonts w:ascii="Arial" w:hAnsi="Arial" w:cs="Arial"/>
                <w:color w:val="000000" w:themeColor="text1"/>
              </w:rPr>
            </w:pPr>
            <w:r w:rsidRPr="00E634BE">
              <w:rPr>
                <w:rFonts w:ascii="Arial" w:hAnsi="Arial" w:cs="Arial"/>
                <w:color w:val="000000" w:themeColor="text1"/>
              </w:rPr>
              <w:t>stażysta wykonuje swoje obowiązki pod nadzorem opiekuna stażu, wyznaczonego na etapie przygotowań</w:t>
            </w:r>
            <w:r w:rsidR="0004466D">
              <w:rPr>
                <w:rFonts w:ascii="Arial" w:hAnsi="Arial" w:cs="Arial"/>
                <w:color w:val="000000" w:themeColor="text1"/>
              </w:rPr>
              <w:t xml:space="preserve"> </w:t>
            </w:r>
            <w:r w:rsidRPr="00E634BE">
              <w:rPr>
                <w:rFonts w:ascii="Arial" w:hAnsi="Arial" w:cs="Arial"/>
                <w:color w:val="000000" w:themeColor="text1"/>
              </w:rPr>
              <w:t>do realizacji programu stażu, który wprowadza stażystę</w:t>
            </w:r>
            <w:r w:rsidR="0004466D">
              <w:rPr>
                <w:rFonts w:ascii="Arial" w:hAnsi="Arial" w:cs="Arial"/>
                <w:color w:val="000000" w:themeColor="text1"/>
              </w:rPr>
              <w:t xml:space="preserve"> </w:t>
            </w:r>
            <w:r w:rsidRPr="00E634BE">
              <w:rPr>
                <w:rFonts w:ascii="Arial" w:hAnsi="Arial" w:cs="Arial"/>
                <w:color w:val="000000" w:themeColor="text1"/>
              </w:rPr>
              <w:t>w</w:t>
            </w:r>
            <w:r w:rsidR="0004466D">
              <w:rPr>
                <w:rFonts w:ascii="Arial" w:hAnsi="Arial" w:cs="Arial"/>
                <w:color w:val="000000" w:themeColor="text1"/>
              </w:rPr>
              <w:t> </w:t>
            </w:r>
            <w:r w:rsidRPr="00E634BE">
              <w:rPr>
                <w:rFonts w:ascii="Arial" w:hAnsi="Arial" w:cs="Arial"/>
                <w:color w:val="000000" w:themeColor="text1"/>
              </w:rPr>
              <w:t>zakres obowiązków oraz zapoznaje z zasadami</w:t>
            </w:r>
            <w:r w:rsidR="0004466D">
              <w:rPr>
                <w:rFonts w:ascii="Arial" w:hAnsi="Arial" w:cs="Arial"/>
                <w:color w:val="000000" w:themeColor="text1"/>
              </w:rPr>
              <w:t xml:space="preserve"> </w:t>
            </w:r>
            <w:r w:rsidRPr="00E634BE">
              <w:rPr>
                <w:rFonts w:ascii="Arial" w:hAnsi="Arial" w:cs="Arial"/>
                <w:color w:val="000000" w:themeColor="text1"/>
              </w:rPr>
              <w:t>i</w:t>
            </w:r>
            <w:r w:rsidR="0004466D">
              <w:rPr>
                <w:rFonts w:ascii="Arial" w:hAnsi="Arial" w:cs="Arial"/>
                <w:color w:val="000000" w:themeColor="text1"/>
              </w:rPr>
              <w:t> </w:t>
            </w:r>
            <w:r w:rsidRPr="00E634BE">
              <w:rPr>
                <w:rFonts w:ascii="Arial" w:hAnsi="Arial" w:cs="Arial"/>
                <w:color w:val="000000" w:themeColor="text1"/>
              </w:rPr>
              <w:t>procedurami obowiązującymi w organizacji (w tym</w:t>
            </w:r>
            <w:r w:rsidR="0004466D">
              <w:rPr>
                <w:rFonts w:ascii="Arial" w:hAnsi="Arial" w:cs="Arial"/>
                <w:color w:val="000000" w:themeColor="text1"/>
              </w:rPr>
              <w:t xml:space="preserve"> </w:t>
            </w:r>
            <w:r w:rsidRPr="00E634BE">
              <w:rPr>
                <w:rFonts w:ascii="Arial" w:hAnsi="Arial" w:cs="Arial"/>
                <w:color w:val="000000" w:themeColor="text1"/>
              </w:rPr>
              <w:t>z</w:t>
            </w:r>
            <w:r w:rsidR="0004466D">
              <w:t> </w:t>
            </w:r>
            <w:r w:rsidRPr="00E634BE">
              <w:rPr>
                <w:rFonts w:ascii="Arial" w:hAnsi="Arial" w:cs="Arial"/>
                <w:color w:val="000000" w:themeColor="text1"/>
              </w:rPr>
              <w:t>zasadami BHP i przeciwpożarowymi), w której odbywa staż, a także monitoruje realizację przydzielonego w</w:t>
            </w:r>
            <w:r w:rsidR="0004466D">
              <w:t> </w:t>
            </w:r>
            <w:r w:rsidRPr="00E634BE">
              <w:rPr>
                <w:rFonts w:ascii="Arial" w:hAnsi="Arial" w:cs="Arial"/>
                <w:color w:val="000000" w:themeColor="text1"/>
              </w:rPr>
              <w:t xml:space="preserve">programie stażu zakresu obowiązków i celów </w:t>
            </w:r>
            <w:r w:rsidRPr="00E634BE">
              <w:rPr>
                <w:rFonts w:ascii="Arial" w:hAnsi="Arial" w:cs="Arial"/>
                <w:color w:val="000000" w:themeColor="text1"/>
              </w:rPr>
              <w:lastRenderedPageBreak/>
              <w:t>edukacyjno-zawodowych oraz udziela informacji zwrotnej stażyście</w:t>
            </w:r>
            <w:r w:rsidR="0004466D">
              <w:rPr>
                <w:rFonts w:ascii="Arial" w:hAnsi="Arial" w:cs="Arial"/>
                <w:color w:val="000000" w:themeColor="text1"/>
              </w:rPr>
              <w:t xml:space="preserve"> </w:t>
            </w:r>
            <w:r w:rsidRPr="00E634BE">
              <w:rPr>
                <w:rFonts w:ascii="Arial" w:hAnsi="Arial" w:cs="Arial"/>
                <w:color w:val="000000" w:themeColor="text1"/>
              </w:rPr>
              <w:t>na temat osiąganych wyników i stopnia realizacji zadań. Opiekun stażysty jest wyznaczany po stronie podmiotu przyjmującego na staż;</w:t>
            </w:r>
          </w:p>
          <w:p w14:paraId="0C02668A" w14:textId="3B201011" w:rsidR="00EA6151" w:rsidRPr="00E634BE" w:rsidRDefault="00A21008" w:rsidP="00130AE2">
            <w:pPr>
              <w:numPr>
                <w:ilvl w:val="2"/>
                <w:numId w:val="4"/>
              </w:numPr>
              <w:tabs>
                <w:tab w:val="left" w:pos="454"/>
              </w:tabs>
              <w:spacing w:after="60" w:line="23" w:lineRule="atLeast"/>
              <w:ind w:left="454" w:hanging="284"/>
              <w:rPr>
                <w:rFonts w:ascii="Arial" w:hAnsi="Arial" w:cs="Arial"/>
                <w:color w:val="000000" w:themeColor="text1"/>
              </w:rPr>
            </w:pPr>
            <w:r w:rsidRPr="00E634BE">
              <w:rPr>
                <w:rFonts w:ascii="Arial" w:hAnsi="Arial" w:cs="Arial"/>
                <w:color w:val="000000" w:themeColor="text1"/>
              </w:rPr>
              <w:t>po zakończeniu stażu jest opracowywana ocena, uwzględniająca osiągnięte rezultaty oraz efekty stażu. Ocena jest opracowywana przez podmiot przyjmujący</w:t>
            </w:r>
            <w:r w:rsidR="0004466D">
              <w:rPr>
                <w:rFonts w:ascii="Arial" w:hAnsi="Arial" w:cs="Arial"/>
                <w:color w:val="000000" w:themeColor="text1"/>
              </w:rPr>
              <w:t xml:space="preserve"> </w:t>
            </w:r>
            <w:r w:rsidRPr="00E634BE">
              <w:rPr>
                <w:rFonts w:ascii="Arial" w:hAnsi="Arial" w:cs="Arial"/>
                <w:color w:val="000000" w:themeColor="text1"/>
              </w:rPr>
              <w:t>na staż w formie pisemnej;</w:t>
            </w:r>
          </w:p>
          <w:p w14:paraId="65795A63" w14:textId="35FB7D4B" w:rsidR="00A21008" w:rsidRPr="00E634BE" w:rsidRDefault="00A21008" w:rsidP="00130AE2">
            <w:pPr>
              <w:numPr>
                <w:ilvl w:val="2"/>
                <w:numId w:val="4"/>
              </w:numPr>
              <w:tabs>
                <w:tab w:val="left" w:pos="454"/>
              </w:tabs>
              <w:spacing w:after="60" w:line="23" w:lineRule="atLeast"/>
              <w:ind w:left="454" w:hanging="284"/>
              <w:rPr>
                <w:rFonts w:ascii="Arial" w:hAnsi="Arial" w:cs="Arial"/>
                <w:color w:val="000000" w:themeColor="text1"/>
              </w:rPr>
            </w:pPr>
            <w:r w:rsidRPr="00E634BE">
              <w:rPr>
                <w:rFonts w:ascii="Arial" w:hAnsi="Arial" w:cs="Arial"/>
                <w:color w:val="000000" w:themeColor="text1"/>
              </w:rPr>
              <w:t>podmiot przyjmujący na staż umożliwia stażyście ocenę programu stażu w formie pisemnej.</w:t>
            </w:r>
          </w:p>
          <w:p w14:paraId="721A1937" w14:textId="3290D225" w:rsidR="00EA6151" w:rsidRPr="00E634BE" w:rsidRDefault="00A21008" w:rsidP="00130AE2">
            <w:pPr>
              <w:numPr>
                <w:ilvl w:val="0"/>
                <w:numId w:val="4"/>
              </w:numPr>
              <w:tabs>
                <w:tab w:val="left" w:pos="312"/>
              </w:tabs>
              <w:spacing w:after="120" w:line="23" w:lineRule="atLeast"/>
              <w:ind w:left="312" w:hanging="312"/>
              <w:rPr>
                <w:rFonts w:ascii="Arial" w:hAnsi="Arial" w:cs="Arial"/>
                <w:color w:val="000000" w:themeColor="text1"/>
              </w:rPr>
            </w:pPr>
            <w:r w:rsidRPr="00E634BE">
              <w:rPr>
                <w:rFonts w:ascii="Arial" w:hAnsi="Arial" w:cs="Arial"/>
                <w:color w:val="000000" w:themeColor="text1"/>
              </w:rPr>
              <w:t>W uzasadnionych przypadkach staże mogą być realizowane w elastycznych godzinach lub niepełnej liczbie godzin</w:t>
            </w:r>
            <w:r w:rsidRPr="00E634BE">
              <w:rPr>
                <w:rStyle w:val="Odwoanieprzypisudolnego"/>
                <w:rFonts w:ascii="Arial" w:hAnsi="Arial" w:cs="Arial"/>
                <w:color w:val="000000" w:themeColor="text1"/>
              </w:rPr>
              <w:footnoteReference w:id="8"/>
            </w:r>
            <w:r w:rsidRPr="00E634BE">
              <w:rPr>
                <w:rFonts w:ascii="Arial" w:hAnsi="Arial" w:cs="Arial"/>
                <w:color w:val="000000" w:themeColor="text1"/>
              </w:rPr>
              <w:t>. Odpowiednie zapisy regulujące godziny odbywania stażu powinny zostać zapisane w umowie, o</w:t>
            </w:r>
            <w:r w:rsidR="00130AE2">
              <w:rPr>
                <w:rFonts w:ascii="Arial" w:hAnsi="Arial" w:cs="Arial"/>
                <w:color w:val="000000" w:themeColor="text1"/>
              </w:rPr>
              <w:t> </w:t>
            </w:r>
            <w:r w:rsidRPr="00E634BE">
              <w:rPr>
                <w:rFonts w:ascii="Arial" w:hAnsi="Arial" w:cs="Arial"/>
                <w:color w:val="000000" w:themeColor="text1"/>
              </w:rPr>
              <w:t>której mowa</w:t>
            </w:r>
            <w:r w:rsidR="00130AE2">
              <w:rPr>
                <w:rFonts w:ascii="Arial" w:hAnsi="Arial" w:cs="Arial"/>
                <w:color w:val="000000" w:themeColor="text1"/>
              </w:rPr>
              <w:t xml:space="preserve"> </w:t>
            </w:r>
            <w:r w:rsidRPr="00E634BE">
              <w:rPr>
                <w:rFonts w:ascii="Arial" w:hAnsi="Arial" w:cs="Arial"/>
                <w:color w:val="000000" w:themeColor="text1"/>
              </w:rPr>
              <w:t>w pkt. 1, lit. a.</w:t>
            </w:r>
          </w:p>
          <w:p w14:paraId="5B55A73C" w14:textId="5E1AB290" w:rsidR="00EA6151" w:rsidRPr="00E634BE" w:rsidRDefault="00A21008" w:rsidP="00130AE2">
            <w:pPr>
              <w:numPr>
                <w:ilvl w:val="0"/>
                <w:numId w:val="4"/>
              </w:numPr>
              <w:tabs>
                <w:tab w:val="left" w:pos="312"/>
              </w:tabs>
              <w:spacing w:after="120" w:line="23" w:lineRule="atLeast"/>
              <w:ind w:left="312" w:hanging="312"/>
              <w:rPr>
                <w:rFonts w:ascii="Arial" w:hAnsi="Arial" w:cs="Arial"/>
                <w:color w:val="000000" w:themeColor="text1"/>
              </w:rPr>
            </w:pPr>
            <w:r w:rsidRPr="00E634BE">
              <w:rPr>
                <w:rFonts w:ascii="Arial" w:hAnsi="Arial" w:cs="Arial"/>
                <w:color w:val="000000" w:themeColor="text1"/>
              </w:rPr>
              <w:t>Staż trwa nie dłużej niż 6 miesięcy kalendarzowych.</w:t>
            </w:r>
            <w:r w:rsidR="0004466D">
              <w:rPr>
                <w:rFonts w:ascii="Arial" w:hAnsi="Arial" w:cs="Arial"/>
                <w:color w:val="000000" w:themeColor="text1"/>
              </w:rPr>
              <w:t xml:space="preserve"> </w:t>
            </w:r>
            <w:r w:rsidRPr="00E634BE">
              <w:rPr>
                <w:rFonts w:ascii="Arial" w:hAnsi="Arial" w:cs="Arial"/>
                <w:color w:val="000000" w:themeColor="text1"/>
              </w:rPr>
              <w:t>W</w:t>
            </w:r>
            <w:r w:rsidR="0004466D">
              <w:rPr>
                <w:rFonts w:ascii="Arial" w:hAnsi="Arial" w:cs="Arial"/>
                <w:color w:val="000000" w:themeColor="text1"/>
              </w:rPr>
              <w:t> </w:t>
            </w:r>
            <w:r w:rsidRPr="00E634BE">
              <w:rPr>
                <w:rFonts w:ascii="Arial" w:hAnsi="Arial" w:cs="Arial"/>
                <w:color w:val="000000" w:themeColor="text1"/>
              </w:rPr>
              <w:t xml:space="preserve">uzasadnionych przypadkach, wynikających ze specyfiki stanowiska pracy, na którym odbywa się staż, może być wydłużony stosownie do programu stażu. </w:t>
            </w:r>
          </w:p>
          <w:p w14:paraId="61373DDD" w14:textId="52F76677" w:rsidR="00EA6151" w:rsidRPr="00E634BE" w:rsidRDefault="00A21008" w:rsidP="00130AE2">
            <w:pPr>
              <w:numPr>
                <w:ilvl w:val="0"/>
                <w:numId w:val="4"/>
              </w:numPr>
              <w:tabs>
                <w:tab w:val="left" w:pos="312"/>
              </w:tabs>
              <w:spacing w:after="120" w:line="23" w:lineRule="atLeast"/>
              <w:ind w:left="312" w:hanging="312"/>
              <w:rPr>
                <w:rFonts w:ascii="Arial" w:hAnsi="Arial" w:cs="Arial"/>
                <w:color w:val="000000" w:themeColor="text1"/>
              </w:rPr>
            </w:pPr>
            <w:r w:rsidRPr="00E634BE">
              <w:rPr>
                <w:rFonts w:ascii="Arial" w:hAnsi="Arial" w:cs="Arial"/>
                <w:color w:val="000000" w:themeColor="text1"/>
              </w:rPr>
              <w:t>Stażyści pobierający stypendium stażowe w okresie odbywania stażu podlegają obowiązkowo ubezpieczeni</w:t>
            </w:r>
            <w:r w:rsidR="00B50933">
              <w:rPr>
                <w:rFonts w:ascii="Arial" w:hAnsi="Arial" w:cs="Arial"/>
                <w:color w:val="000000" w:themeColor="text1"/>
              </w:rPr>
              <w:t>u</w:t>
            </w:r>
            <w:r w:rsidRPr="00E634BE">
              <w:rPr>
                <w:rFonts w:ascii="Arial" w:hAnsi="Arial" w:cs="Arial"/>
                <w:color w:val="000000" w:themeColor="text1"/>
              </w:rPr>
              <w:t xml:space="preserve"> emerytaln</w:t>
            </w:r>
            <w:r w:rsidR="00B50933">
              <w:rPr>
                <w:rFonts w:ascii="Arial" w:hAnsi="Arial" w:cs="Arial"/>
                <w:color w:val="000000" w:themeColor="text1"/>
              </w:rPr>
              <w:t>emu</w:t>
            </w:r>
            <w:r w:rsidRPr="00E634BE">
              <w:rPr>
                <w:rFonts w:ascii="Arial" w:hAnsi="Arial" w:cs="Arial"/>
                <w:color w:val="000000" w:themeColor="text1"/>
              </w:rPr>
              <w:t>, rentow</w:t>
            </w:r>
            <w:r w:rsidR="00B50933">
              <w:rPr>
                <w:rFonts w:ascii="Arial" w:hAnsi="Arial" w:cs="Arial"/>
                <w:color w:val="000000" w:themeColor="text1"/>
              </w:rPr>
              <w:t>emu</w:t>
            </w:r>
            <w:r w:rsidRPr="00E634BE">
              <w:rPr>
                <w:rFonts w:ascii="Arial" w:hAnsi="Arial" w:cs="Arial"/>
                <w:color w:val="000000" w:themeColor="text1"/>
              </w:rPr>
              <w:t xml:space="preserve"> i wypadkow</w:t>
            </w:r>
            <w:r w:rsidR="00B50933">
              <w:rPr>
                <w:rFonts w:ascii="Arial" w:hAnsi="Arial" w:cs="Arial"/>
                <w:color w:val="000000" w:themeColor="text1"/>
              </w:rPr>
              <w:t>emu</w:t>
            </w:r>
            <w:r w:rsidRPr="00E634BE">
              <w:rPr>
                <w:rFonts w:ascii="Arial" w:hAnsi="Arial" w:cs="Arial"/>
                <w:color w:val="000000" w:themeColor="text1"/>
              </w:rPr>
              <w:t>, jeśli nie mają innych tytułów powodujących obowiązek ubezpieczeń społecznych (art. 6 ust. 1 pkt 9a w związku z art. 9 ust. 6a oraz art. 12 ustawy z dnia 13 października 1998 r. o</w:t>
            </w:r>
            <w:r w:rsidR="00130AE2">
              <w:rPr>
                <w:rFonts w:ascii="Arial" w:hAnsi="Arial" w:cs="Arial"/>
                <w:color w:val="000000" w:themeColor="text1"/>
              </w:rPr>
              <w:t> </w:t>
            </w:r>
            <w:r w:rsidRPr="00E634BE">
              <w:rPr>
                <w:rFonts w:ascii="Arial" w:hAnsi="Arial" w:cs="Arial"/>
                <w:color w:val="000000" w:themeColor="text1"/>
              </w:rPr>
              <w:t>systemie ubezpieczeń społecznych). Płatnikiem składek za te osoby jest podmiot kierujący na staż.</w:t>
            </w:r>
          </w:p>
          <w:p w14:paraId="7D28C8B7" w14:textId="77777777" w:rsidR="00EA6151" w:rsidRPr="00E634BE" w:rsidRDefault="00A21008" w:rsidP="00130AE2">
            <w:pPr>
              <w:numPr>
                <w:ilvl w:val="0"/>
                <w:numId w:val="4"/>
              </w:numPr>
              <w:tabs>
                <w:tab w:val="left" w:pos="312"/>
              </w:tabs>
              <w:spacing w:after="120" w:line="23" w:lineRule="atLeast"/>
              <w:ind w:left="312" w:hanging="312"/>
              <w:rPr>
                <w:rFonts w:ascii="Arial" w:hAnsi="Arial" w:cs="Arial"/>
                <w:color w:val="000000" w:themeColor="text1"/>
              </w:rPr>
            </w:pPr>
            <w:r w:rsidRPr="00E634BE">
              <w:rPr>
                <w:rFonts w:ascii="Arial" w:hAnsi="Arial" w:cs="Arial"/>
                <w:color w:val="000000" w:themeColor="text1"/>
              </w:rPr>
              <w:t>Stażyści w okresie odbywania stażu objęci są ubezpieczeniem zdrowotnym</w:t>
            </w:r>
            <w:r w:rsidRPr="00E634BE">
              <w:rPr>
                <w:rStyle w:val="Odwoanieprzypisudolnego"/>
                <w:rFonts w:ascii="Arial" w:hAnsi="Arial" w:cs="Arial"/>
                <w:color w:val="000000" w:themeColor="text1"/>
              </w:rPr>
              <w:footnoteReference w:id="9"/>
            </w:r>
            <w:r w:rsidRPr="00E634BE">
              <w:rPr>
                <w:rFonts w:ascii="Arial" w:hAnsi="Arial" w:cs="Arial"/>
                <w:color w:val="000000" w:themeColor="text1"/>
              </w:rPr>
              <w:t xml:space="preserve"> oraz od następstw nieszczęśliwych wypadków, z tytułu wypadku przy pracy lub choroby zawodowej. Koszt tego ubezpieczenia jest ponoszony przez podmiot kierujący na staż.</w:t>
            </w:r>
          </w:p>
          <w:p w14:paraId="04CA8B39" w14:textId="08E9F624" w:rsidR="00EA6151" w:rsidRPr="00E634BE" w:rsidRDefault="00A21008" w:rsidP="00130AE2">
            <w:pPr>
              <w:numPr>
                <w:ilvl w:val="0"/>
                <w:numId w:val="4"/>
              </w:numPr>
              <w:tabs>
                <w:tab w:val="left" w:pos="312"/>
              </w:tabs>
              <w:spacing w:after="120" w:line="23" w:lineRule="atLeast"/>
              <w:ind w:left="312" w:hanging="312"/>
              <w:rPr>
                <w:rFonts w:ascii="Arial" w:hAnsi="Arial" w:cs="Arial"/>
                <w:color w:val="000000" w:themeColor="text1"/>
              </w:rPr>
            </w:pPr>
            <w:r w:rsidRPr="00E634BE">
              <w:rPr>
                <w:rFonts w:ascii="Arial" w:hAnsi="Arial" w:cs="Arial"/>
                <w:color w:val="000000" w:themeColor="text1"/>
              </w:rPr>
              <w:t>Koszt składek na ubezpieczenia, o których mowa w pkt</w:t>
            </w:r>
            <w:r w:rsidR="0004466D">
              <w:rPr>
                <w:rFonts w:ascii="Arial" w:hAnsi="Arial" w:cs="Arial"/>
                <w:color w:val="000000" w:themeColor="text1"/>
              </w:rPr>
              <w:t xml:space="preserve"> </w:t>
            </w:r>
            <w:r w:rsidRPr="00E634BE">
              <w:rPr>
                <w:rFonts w:ascii="Arial" w:hAnsi="Arial" w:cs="Arial"/>
                <w:color w:val="000000" w:themeColor="text1"/>
              </w:rPr>
              <w:t>5</w:t>
            </w:r>
            <w:r w:rsidR="0004466D">
              <w:rPr>
                <w:rFonts w:ascii="Arial" w:hAnsi="Arial" w:cs="Arial"/>
                <w:color w:val="000000" w:themeColor="text1"/>
              </w:rPr>
              <w:t> </w:t>
            </w:r>
            <w:r w:rsidRPr="00E634BE">
              <w:rPr>
                <w:rFonts w:ascii="Arial" w:hAnsi="Arial" w:cs="Arial"/>
                <w:color w:val="000000" w:themeColor="text1"/>
              </w:rPr>
              <w:t>i</w:t>
            </w:r>
            <w:r w:rsidR="0004466D">
              <w:rPr>
                <w:rFonts w:ascii="Arial" w:hAnsi="Arial" w:cs="Arial"/>
                <w:color w:val="000000" w:themeColor="text1"/>
              </w:rPr>
              <w:t> </w:t>
            </w:r>
            <w:r w:rsidRPr="00E634BE">
              <w:rPr>
                <w:rFonts w:ascii="Arial" w:hAnsi="Arial" w:cs="Arial"/>
                <w:color w:val="000000" w:themeColor="text1"/>
              </w:rPr>
              <w:t>6, jest wydatkiem kwalifikowalnym w projekcie, który</w:t>
            </w:r>
            <w:r w:rsidR="00EC0B95">
              <w:rPr>
                <w:rFonts w:ascii="Arial" w:hAnsi="Arial" w:cs="Arial"/>
                <w:color w:val="000000" w:themeColor="text1"/>
              </w:rPr>
              <w:t xml:space="preserve"> </w:t>
            </w:r>
            <w:r w:rsidRPr="00E634BE">
              <w:rPr>
                <w:rFonts w:ascii="Arial" w:hAnsi="Arial" w:cs="Arial"/>
                <w:color w:val="000000" w:themeColor="text1"/>
              </w:rPr>
              <w:t>nie zawiera się w kwocie stypendium, o którym mowa w pkt 4.</w:t>
            </w:r>
          </w:p>
          <w:p w14:paraId="653D01B5" w14:textId="77777777" w:rsidR="00EA6151" w:rsidRPr="00E634BE" w:rsidRDefault="00A21008" w:rsidP="00130AE2">
            <w:pPr>
              <w:numPr>
                <w:ilvl w:val="0"/>
                <w:numId w:val="4"/>
              </w:numPr>
              <w:tabs>
                <w:tab w:val="left" w:pos="312"/>
              </w:tabs>
              <w:spacing w:after="120" w:line="23" w:lineRule="atLeast"/>
              <w:ind w:left="312" w:hanging="312"/>
              <w:rPr>
                <w:rFonts w:ascii="Arial" w:hAnsi="Arial" w:cs="Arial"/>
                <w:color w:val="000000" w:themeColor="text1"/>
              </w:rPr>
            </w:pPr>
            <w:r w:rsidRPr="00E634BE">
              <w:rPr>
                <w:rFonts w:ascii="Arial" w:hAnsi="Arial" w:cs="Arial"/>
                <w:color w:val="000000" w:themeColor="text1"/>
              </w:rPr>
              <w:t>Osobie odbywającej staż przysługują 2 dni wolne za każde 30 dni kalendarzowych odbytego stażu, za które przysługuje stypendium stażowe.</w:t>
            </w:r>
          </w:p>
          <w:p w14:paraId="25C4321C" w14:textId="07F59669" w:rsidR="00A21008" w:rsidRPr="004F1DDF" w:rsidRDefault="00A21008" w:rsidP="00130AE2">
            <w:pPr>
              <w:numPr>
                <w:ilvl w:val="0"/>
                <w:numId w:val="4"/>
              </w:numPr>
              <w:tabs>
                <w:tab w:val="left" w:pos="312"/>
              </w:tabs>
              <w:spacing w:after="120" w:line="23" w:lineRule="atLeast"/>
              <w:ind w:left="312" w:hanging="312"/>
              <w:rPr>
                <w:rFonts w:ascii="Arial" w:hAnsi="Arial" w:cs="Arial"/>
                <w:color w:val="000000" w:themeColor="text1"/>
              </w:rPr>
            </w:pPr>
            <w:r w:rsidRPr="00E634BE">
              <w:rPr>
                <w:rFonts w:ascii="Arial" w:hAnsi="Arial" w:cs="Arial"/>
                <w:color w:val="000000" w:themeColor="text1"/>
              </w:rPr>
              <w:lastRenderedPageBreak/>
              <w:t>Osoba zachowuje prawo do stypendium stażowego za okres udokumentowanej niezdolności do wykonywania zadań, przypadający w okresie odbywania stażu, za który na podstawie odrębnych przepisów pracownicy zachowują prawo do wynagrodzenia lub przysługują im zasiłki</w:t>
            </w:r>
            <w:r w:rsidR="0004466D">
              <w:rPr>
                <w:rFonts w:ascii="Arial" w:hAnsi="Arial" w:cs="Arial"/>
                <w:color w:val="000000" w:themeColor="text1"/>
              </w:rPr>
              <w:t xml:space="preserve"> </w:t>
            </w:r>
            <w:r w:rsidRPr="00E634BE">
              <w:rPr>
                <w:rFonts w:ascii="Arial" w:hAnsi="Arial" w:cs="Arial"/>
                <w:color w:val="000000" w:themeColor="text1"/>
              </w:rPr>
              <w:t>z</w:t>
            </w:r>
            <w:r w:rsidR="0004466D">
              <w:rPr>
                <w:rFonts w:ascii="Arial" w:hAnsi="Arial" w:cs="Arial"/>
                <w:color w:val="000000" w:themeColor="text1"/>
              </w:rPr>
              <w:t> </w:t>
            </w:r>
            <w:r w:rsidRPr="00E634BE">
              <w:rPr>
                <w:rFonts w:ascii="Arial" w:hAnsi="Arial" w:cs="Arial"/>
                <w:color w:val="000000" w:themeColor="text1"/>
              </w:rPr>
              <w:t>ubezpieczenia społecznego w razie choroby lub macierzyństwa.</w:t>
            </w:r>
          </w:p>
        </w:tc>
        <w:tc>
          <w:tcPr>
            <w:tcW w:w="1985" w:type="dxa"/>
          </w:tcPr>
          <w:p w14:paraId="72C323A7" w14:textId="5EAF16DE" w:rsidR="00A21008" w:rsidRPr="007F2CBB" w:rsidRDefault="00EC0B95" w:rsidP="003A7E78">
            <w:pPr>
              <w:pStyle w:val="Akapitzlist"/>
              <w:numPr>
                <w:ilvl w:val="0"/>
                <w:numId w:val="17"/>
              </w:numPr>
              <w:tabs>
                <w:tab w:val="left" w:pos="301"/>
              </w:tabs>
              <w:spacing w:before="60" w:line="23" w:lineRule="atLeast"/>
              <w:ind w:left="33" w:hanging="33"/>
              <w:rPr>
                <w:rFonts w:ascii="Arial" w:hAnsi="Arial" w:cs="Arial"/>
              </w:rPr>
            </w:pPr>
            <w:r>
              <w:rPr>
                <w:rFonts w:ascii="Arial" w:hAnsi="Arial" w:cs="Arial"/>
                <w:color w:val="000000" w:themeColor="text1"/>
              </w:rPr>
              <w:lastRenderedPageBreak/>
              <w:t>S</w:t>
            </w:r>
            <w:r w:rsidR="008029DB" w:rsidRPr="007F2CBB">
              <w:rPr>
                <w:rFonts w:ascii="Arial" w:hAnsi="Arial" w:cs="Arial"/>
                <w:color w:val="000000" w:themeColor="text1"/>
              </w:rPr>
              <w:t>tażyście</w:t>
            </w:r>
            <w:r w:rsidR="00130AE2">
              <w:rPr>
                <w:rFonts w:ascii="Arial" w:hAnsi="Arial" w:cs="Arial"/>
                <w:color w:val="000000" w:themeColor="text1"/>
              </w:rPr>
              <w:t xml:space="preserve"> </w:t>
            </w:r>
            <w:r w:rsidR="00A21008" w:rsidRPr="007F2CBB">
              <w:rPr>
                <w:rFonts w:ascii="Arial" w:hAnsi="Arial" w:cs="Arial"/>
                <w:color w:val="000000" w:themeColor="text1"/>
              </w:rPr>
              <w:t>w</w:t>
            </w:r>
            <w:r w:rsidR="00130AE2">
              <w:rPr>
                <w:rFonts w:ascii="Arial" w:hAnsi="Arial" w:cs="Arial"/>
                <w:color w:val="000000" w:themeColor="text1"/>
              </w:rPr>
              <w:t> </w:t>
            </w:r>
            <w:r w:rsidR="00A21008" w:rsidRPr="007F2CBB">
              <w:rPr>
                <w:rFonts w:ascii="Arial" w:hAnsi="Arial" w:cs="Arial"/>
                <w:color w:val="000000" w:themeColor="text1"/>
              </w:rPr>
              <w:t xml:space="preserve">okresie odbywania stażu </w:t>
            </w:r>
            <w:r w:rsidR="00A21008" w:rsidRPr="007F2CBB">
              <w:rPr>
                <w:rFonts w:ascii="Arial" w:hAnsi="Arial" w:cs="Arial"/>
              </w:rPr>
              <w:t xml:space="preserve">przysługuje </w:t>
            </w:r>
            <w:r w:rsidR="00A21008" w:rsidRPr="007F2CBB">
              <w:rPr>
                <w:rFonts w:ascii="Arial" w:hAnsi="Arial" w:cs="Arial"/>
                <w:b/>
                <w:bCs/>
              </w:rPr>
              <w:t>stypendium stażowe</w:t>
            </w:r>
            <w:r w:rsidR="00A21008" w:rsidRPr="007F2CBB">
              <w:rPr>
                <w:rFonts w:ascii="Arial" w:hAnsi="Arial" w:cs="Arial"/>
              </w:rPr>
              <w:t xml:space="preserve">, które miesięcznie wynosi </w:t>
            </w:r>
            <w:r w:rsidR="00A21008" w:rsidRPr="007F2CBB">
              <w:rPr>
                <w:rFonts w:ascii="Arial" w:hAnsi="Arial" w:cs="Arial"/>
                <w:b/>
                <w:bCs/>
              </w:rPr>
              <w:t>120% zasiłku</w:t>
            </w:r>
            <w:r w:rsidR="00A21008" w:rsidRPr="007F2CBB">
              <w:rPr>
                <w:rFonts w:ascii="Arial" w:hAnsi="Arial" w:cs="Arial"/>
              </w:rPr>
              <w:t>, o którym mowa w art. 72 ust. 1 pkt 1 ustawy</w:t>
            </w:r>
            <w:r w:rsidR="0004466D">
              <w:rPr>
                <w:rFonts w:ascii="Arial" w:hAnsi="Arial" w:cs="Arial"/>
              </w:rPr>
              <w:t xml:space="preserve"> </w:t>
            </w:r>
            <w:r w:rsidR="00A21008" w:rsidRPr="007F2CBB">
              <w:rPr>
                <w:rFonts w:ascii="Arial" w:hAnsi="Arial" w:cs="Arial"/>
              </w:rPr>
              <w:t>o</w:t>
            </w:r>
            <w:r w:rsidR="0004466D">
              <w:rPr>
                <w:rFonts w:ascii="Arial" w:hAnsi="Arial" w:cs="Arial"/>
              </w:rPr>
              <w:t> </w:t>
            </w:r>
            <w:r w:rsidR="00A21008" w:rsidRPr="007F2CBB">
              <w:rPr>
                <w:rFonts w:ascii="Arial" w:hAnsi="Arial" w:cs="Arial"/>
              </w:rPr>
              <w:t>promocji zatrudnienia</w:t>
            </w:r>
            <w:r w:rsidR="0004466D">
              <w:rPr>
                <w:rFonts w:ascii="Arial" w:hAnsi="Arial" w:cs="Arial"/>
              </w:rPr>
              <w:t xml:space="preserve"> </w:t>
            </w:r>
            <w:r w:rsidR="00A21008" w:rsidRPr="007F2CBB">
              <w:rPr>
                <w:rFonts w:ascii="Arial" w:hAnsi="Arial" w:cs="Arial"/>
              </w:rPr>
              <w:t>i</w:t>
            </w:r>
            <w:r w:rsidR="0004466D">
              <w:rPr>
                <w:rFonts w:ascii="Arial" w:hAnsi="Arial" w:cs="Arial"/>
              </w:rPr>
              <w:t> </w:t>
            </w:r>
            <w:r w:rsidR="00A21008" w:rsidRPr="007F2CBB">
              <w:rPr>
                <w:rFonts w:ascii="Arial" w:hAnsi="Arial" w:cs="Arial"/>
              </w:rPr>
              <w:t>instytucjach rynku pracy</w:t>
            </w:r>
            <w:r w:rsidR="00A21008" w:rsidRPr="00A21008">
              <w:rPr>
                <w:rStyle w:val="Odwoanieprzypisudolnego"/>
                <w:rFonts w:ascii="Arial" w:hAnsi="Arial" w:cs="Arial"/>
              </w:rPr>
              <w:footnoteReference w:id="10"/>
            </w:r>
            <w:r w:rsidR="00A21008" w:rsidRPr="007F2CBB">
              <w:rPr>
                <w:rFonts w:ascii="Arial" w:hAnsi="Arial" w:cs="Arial"/>
              </w:rPr>
              <w:t>, jeżeli miesięczna liczba godzin stażu wynosi</w:t>
            </w:r>
            <w:r w:rsidR="0004466D">
              <w:rPr>
                <w:rFonts w:ascii="Arial" w:hAnsi="Arial" w:cs="Arial"/>
              </w:rPr>
              <w:t xml:space="preserve"> </w:t>
            </w:r>
            <w:r w:rsidR="00A21008" w:rsidRPr="007F2CBB">
              <w:rPr>
                <w:rFonts w:ascii="Arial" w:hAnsi="Arial" w:cs="Arial"/>
                <w:b/>
                <w:bCs/>
              </w:rPr>
              <w:t>nie mniej niż 160 godzin miesięcznie</w:t>
            </w:r>
            <w:r w:rsidR="00A21008" w:rsidRPr="00A21008">
              <w:rPr>
                <w:rStyle w:val="Odwoanieprzypisudolnego"/>
                <w:rFonts w:ascii="Arial" w:hAnsi="Arial" w:cs="Arial"/>
              </w:rPr>
              <w:footnoteReference w:id="11"/>
            </w:r>
            <w:r w:rsidR="00A21008" w:rsidRPr="007F2CBB">
              <w:rPr>
                <w:rFonts w:ascii="Arial" w:hAnsi="Arial" w:cs="Arial"/>
              </w:rPr>
              <w:t xml:space="preserve"> – w przypadku niższego miesięcznego wymiaru godzin, wysokość stypendium ustala się proporcjonalnie, chyba że w</w:t>
            </w:r>
            <w:r w:rsidR="0004466D">
              <w:rPr>
                <w:rFonts w:ascii="Arial" w:hAnsi="Arial" w:cs="Arial"/>
              </w:rPr>
              <w:t> </w:t>
            </w:r>
            <w:r w:rsidR="00A21008" w:rsidRPr="007F2CBB">
              <w:rPr>
                <w:rFonts w:ascii="Arial" w:hAnsi="Arial" w:cs="Arial"/>
              </w:rPr>
              <w:t xml:space="preserve">danym miesiącu nie </w:t>
            </w:r>
            <w:r w:rsidR="00A21008" w:rsidRPr="007F2CBB">
              <w:rPr>
                <w:rFonts w:ascii="Arial" w:hAnsi="Arial" w:cs="Arial"/>
              </w:rPr>
              <w:lastRenderedPageBreak/>
              <w:t>występuje 20 dni roboczych</w:t>
            </w:r>
            <w:r w:rsidR="0004466D">
              <w:rPr>
                <w:rFonts w:ascii="Arial" w:hAnsi="Arial" w:cs="Arial"/>
              </w:rPr>
              <w:t xml:space="preserve"> </w:t>
            </w:r>
            <w:r w:rsidR="00A21008" w:rsidRPr="007F2CBB">
              <w:rPr>
                <w:rFonts w:ascii="Arial" w:hAnsi="Arial" w:cs="Arial"/>
              </w:rPr>
              <w:t>i</w:t>
            </w:r>
            <w:r w:rsidR="0004466D">
              <w:rPr>
                <w:rFonts w:ascii="Arial" w:hAnsi="Arial" w:cs="Arial"/>
              </w:rPr>
              <w:t> </w:t>
            </w:r>
            <w:r w:rsidR="00A21008" w:rsidRPr="007F2CBB">
              <w:rPr>
                <w:rFonts w:ascii="Arial" w:hAnsi="Arial" w:cs="Arial"/>
              </w:rPr>
              <w:t>odbywanie stażu w mniejszej liczbie godzin stażowych jest niezawinione ze strony uczestnika i podmiotu przyjmującego</w:t>
            </w:r>
            <w:r w:rsidR="0004466D">
              <w:rPr>
                <w:rFonts w:ascii="Arial" w:hAnsi="Arial" w:cs="Arial"/>
              </w:rPr>
              <w:t xml:space="preserve"> </w:t>
            </w:r>
            <w:r w:rsidR="00A21008" w:rsidRPr="007F2CBB">
              <w:rPr>
                <w:rFonts w:ascii="Arial" w:hAnsi="Arial" w:cs="Arial"/>
              </w:rPr>
              <w:t>na staż</w:t>
            </w:r>
            <w:r w:rsidR="00A21008" w:rsidRPr="00A21008">
              <w:rPr>
                <w:rStyle w:val="Odwoanieprzypisudolnego"/>
                <w:rFonts w:ascii="Arial" w:hAnsi="Arial" w:cs="Arial"/>
              </w:rPr>
              <w:footnoteReference w:id="12"/>
            </w:r>
            <w:r w:rsidR="00A21008" w:rsidRPr="007F2CBB">
              <w:rPr>
                <w:rFonts w:ascii="Arial" w:hAnsi="Arial" w:cs="Arial"/>
              </w:rPr>
              <w:t>.</w:t>
            </w:r>
          </w:p>
          <w:p w14:paraId="433BA272" w14:textId="77777777" w:rsidR="00A21008" w:rsidRPr="00A21008" w:rsidRDefault="00A21008" w:rsidP="003A7E78">
            <w:pPr>
              <w:spacing w:line="23" w:lineRule="atLeast"/>
              <w:jc w:val="center"/>
              <w:rPr>
                <w:rFonts w:ascii="Arial" w:hAnsi="Arial" w:cs="Arial"/>
              </w:rPr>
            </w:pPr>
          </w:p>
        </w:tc>
      </w:tr>
      <w:tr w:rsidR="008A4DEB" w:rsidRPr="00A21008" w14:paraId="4EE4DE37" w14:textId="77777777" w:rsidTr="008C13FF">
        <w:tc>
          <w:tcPr>
            <w:tcW w:w="10060" w:type="dxa"/>
            <w:gridSpan w:val="3"/>
            <w:shd w:val="clear" w:color="auto" w:fill="C6D9F1" w:themeFill="text2" w:themeFillTint="33"/>
          </w:tcPr>
          <w:p w14:paraId="06964BC1" w14:textId="4575ACBC" w:rsidR="008A4DEB" w:rsidRDefault="008A4DEB" w:rsidP="003A7E78">
            <w:pPr>
              <w:spacing w:before="120" w:after="120" w:line="23" w:lineRule="atLeast"/>
              <w:jc w:val="center"/>
              <w:rPr>
                <w:rFonts w:ascii="Arial" w:hAnsi="Arial" w:cs="Arial"/>
                <w:color w:val="000000" w:themeColor="text1"/>
              </w:rPr>
            </w:pPr>
            <w:r>
              <w:rPr>
                <w:rFonts w:ascii="Arial" w:hAnsi="Arial" w:cs="Arial"/>
                <w:color w:val="000000" w:themeColor="text1"/>
              </w:rPr>
              <w:lastRenderedPageBreak/>
              <w:t>Działania towarzyszące</w:t>
            </w:r>
          </w:p>
        </w:tc>
      </w:tr>
      <w:tr w:rsidR="00E92083" w:rsidRPr="00A21008" w14:paraId="1F301912" w14:textId="77777777" w:rsidTr="002708BE">
        <w:trPr>
          <w:trHeight w:val="1271"/>
        </w:trPr>
        <w:tc>
          <w:tcPr>
            <w:tcW w:w="1838" w:type="dxa"/>
          </w:tcPr>
          <w:p w14:paraId="2A3771E9" w14:textId="77777777" w:rsidR="00A21008" w:rsidRPr="00A21008" w:rsidRDefault="00A21008" w:rsidP="003A7E78">
            <w:pPr>
              <w:spacing w:before="60" w:line="23" w:lineRule="atLeast"/>
              <w:rPr>
                <w:rFonts w:ascii="Arial" w:hAnsi="Arial" w:cs="Arial"/>
              </w:rPr>
            </w:pPr>
            <w:r w:rsidRPr="00A21008">
              <w:rPr>
                <w:rFonts w:ascii="Arial" w:hAnsi="Arial" w:cs="Arial"/>
              </w:rPr>
              <w:t>Przerwa kawowa</w:t>
            </w:r>
          </w:p>
        </w:tc>
        <w:tc>
          <w:tcPr>
            <w:tcW w:w="6237" w:type="dxa"/>
          </w:tcPr>
          <w:p w14:paraId="2C19B038" w14:textId="77777777" w:rsidR="00A21008" w:rsidRPr="00A21008" w:rsidRDefault="00A21008" w:rsidP="003A7E78">
            <w:pPr>
              <w:spacing w:before="60" w:after="60" w:line="23" w:lineRule="atLeast"/>
              <w:rPr>
                <w:rFonts w:ascii="Arial" w:hAnsi="Arial" w:cs="Arial"/>
              </w:rPr>
            </w:pPr>
            <w:r w:rsidRPr="00A21008">
              <w:rPr>
                <w:rFonts w:ascii="Arial" w:hAnsi="Arial" w:cs="Arial"/>
              </w:rPr>
              <w:t>Przerwa kawowa jest wydatkiem kwalifikowalnym, o ile jest to uzasadnione specyfiką realizowanego projektu. Kwalifikowalność wydatku jest możliwa tylko w przypadku gdy forma wsparcia, w ramach której przewidziano przerwę kawową dla tej samej grupy osób w danym dniu, trwa dłużej niż 4 godziny. Wydatek obejmuje: kawę, herbatę, wodę, mleko, cukier, cytrynę, drobne słone lub słodkie przekąski typu paluszki, ciastka, owoce, przy czym istnieje możliwość szerszego zakresu usługi, o ile mieści się to w określonej cenie rynkowej.</w:t>
            </w:r>
          </w:p>
        </w:tc>
        <w:tc>
          <w:tcPr>
            <w:tcW w:w="1985" w:type="dxa"/>
          </w:tcPr>
          <w:p w14:paraId="7B26EBC7" w14:textId="7397E0BB" w:rsidR="00A21008" w:rsidRPr="00A21008" w:rsidRDefault="00EA6151" w:rsidP="0004466D">
            <w:pPr>
              <w:spacing w:before="60" w:line="23" w:lineRule="atLeast"/>
              <w:rPr>
                <w:rFonts w:ascii="Arial" w:hAnsi="Arial" w:cs="Arial"/>
              </w:rPr>
            </w:pPr>
            <w:r>
              <w:rPr>
                <w:rFonts w:ascii="Arial" w:hAnsi="Arial" w:cs="Arial"/>
              </w:rPr>
              <w:t>3</w:t>
            </w:r>
            <w:r w:rsidR="00CE3CDF">
              <w:rPr>
                <w:rFonts w:ascii="Arial" w:hAnsi="Arial" w:cs="Arial"/>
              </w:rPr>
              <w:t>4</w:t>
            </w:r>
            <w:r w:rsidR="00A21008" w:rsidRPr="00A21008">
              <w:rPr>
                <w:rFonts w:ascii="Arial" w:hAnsi="Arial" w:cs="Arial"/>
              </w:rPr>
              <w:t>,00 zł/osoba</w:t>
            </w:r>
          </w:p>
        </w:tc>
      </w:tr>
      <w:tr w:rsidR="00E92083" w:rsidRPr="00A21008" w14:paraId="6470DE4A" w14:textId="77777777" w:rsidTr="002708BE">
        <w:tc>
          <w:tcPr>
            <w:tcW w:w="1838" w:type="dxa"/>
          </w:tcPr>
          <w:p w14:paraId="133E910C" w14:textId="77777777" w:rsidR="00A21008" w:rsidRPr="00A21008" w:rsidRDefault="00A21008" w:rsidP="003A7E78">
            <w:pPr>
              <w:spacing w:before="60" w:line="23" w:lineRule="atLeast"/>
              <w:rPr>
                <w:rFonts w:ascii="Arial" w:hAnsi="Arial" w:cs="Arial"/>
              </w:rPr>
            </w:pPr>
            <w:r w:rsidRPr="00A21008">
              <w:rPr>
                <w:rFonts w:ascii="Arial" w:hAnsi="Arial" w:cs="Arial"/>
              </w:rPr>
              <w:t>Przerwa obiadowa (catering)</w:t>
            </w:r>
          </w:p>
        </w:tc>
        <w:tc>
          <w:tcPr>
            <w:tcW w:w="6237" w:type="dxa"/>
          </w:tcPr>
          <w:p w14:paraId="624F341A" w14:textId="4D08D5D3" w:rsidR="00A21008" w:rsidRPr="00A21008" w:rsidRDefault="00A21008" w:rsidP="003A7E78">
            <w:pPr>
              <w:spacing w:before="60" w:after="60" w:line="23" w:lineRule="atLeast"/>
              <w:rPr>
                <w:rFonts w:ascii="Arial" w:hAnsi="Arial" w:cs="Arial"/>
              </w:rPr>
            </w:pPr>
            <w:r w:rsidRPr="00A21008">
              <w:rPr>
                <w:rFonts w:ascii="Arial" w:hAnsi="Arial" w:cs="Arial"/>
              </w:rPr>
              <w:t>Przerwa obiadowa (catering) dla uczestników projektu jest wydatkiem kwalifikowalnym, o ile jest to uzasadnione specyfiką realizowanego projektu. Kwalifikowalność wydatku jest możliwa tylko w przypadku gdy forma wsparcia,</w:t>
            </w:r>
            <w:r w:rsidR="00130AE2">
              <w:rPr>
                <w:rFonts w:ascii="Arial" w:hAnsi="Arial" w:cs="Arial"/>
              </w:rPr>
              <w:t xml:space="preserve"> </w:t>
            </w:r>
            <w:r w:rsidRPr="00A21008">
              <w:rPr>
                <w:rFonts w:ascii="Arial" w:hAnsi="Arial" w:cs="Arial"/>
              </w:rPr>
              <w:t>w</w:t>
            </w:r>
            <w:r w:rsidR="00130AE2">
              <w:rPr>
                <w:rFonts w:ascii="Arial" w:hAnsi="Arial" w:cs="Arial"/>
              </w:rPr>
              <w:t> </w:t>
            </w:r>
            <w:r w:rsidRPr="00A21008">
              <w:rPr>
                <w:rFonts w:ascii="Arial" w:hAnsi="Arial" w:cs="Arial"/>
              </w:rPr>
              <w:t>ramach której przewidziano przerwę obiadową dla tej samej grupy osób w danym dniu, trwa dłużej niż 6 godzin. Wydatek obejmuje: dwa dania (zupę i drugie danie) oraz napój, przy czym istnieje możliwość szerszego zakresu usługi, o ile mieści się to w określonej cenie rynkowej.</w:t>
            </w:r>
          </w:p>
        </w:tc>
        <w:tc>
          <w:tcPr>
            <w:tcW w:w="1985" w:type="dxa"/>
          </w:tcPr>
          <w:p w14:paraId="138EB2DF" w14:textId="249554AE" w:rsidR="00A21008" w:rsidRPr="00A21008" w:rsidRDefault="00EA6151" w:rsidP="003A7E78">
            <w:pPr>
              <w:spacing w:before="60" w:line="23" w:lineRule="atLeast"/>
              <w:rPr>
                <w:rFonts w:ascii="Arial" w:hAnsi="Arial" w:cs="Arial"/>
              </w:rPr>
            </w:pPr>
            <w:r>
              <w:rPr>
                <w:rFonts w:ascii="Arial" w:hAnsi="Arial" w:cs="Arial"/>
              </w:rPr>
              <w:t>3</w:t>
            </w:r>
            <w:r w:rsidR="00314C35">
              <w:rPr>
                <w:rFonts w:ascii="Arial" w:hAnsi="Arial" w:cs="Arial"/>
              </w:rPr>
              <w:t>6</w:t>
            </w:r>
            <w:r w:rsidR="00A21008" w:rsidRPr="00A21008">
              <w:rPr>
                <w:rFonts w:ascii="Arial" w:hAnsi="Arial" w:cs="Arial"/>
              </w:rPr>
              <w:t>,00 zł/osoba</w:t>
            </w:r>
          </w:p>
        </w:tc>
      </w:tr>
      <w:tr w:rsidR="00E92083" w:rsidRPr="00A21008" w14:paraId="7B356A80" w14:textId="77777777" w:rsidTr="002708BE">
        <w:tc>
          <w:tcPr>
            <w:tcW w:w="1838" w:type="dxa"/>
          </w:tcPr>
          <w:p w14:paraId="56B39E33" w14:textId="78DA9341" w:rsidR="00A21008" w:rsidRPr="00A21008" w:rsidRDefault="00A21008" w:rsidP="00130AE2">
            <w:pPr>
              <w:spacing w:before="60" w:line="23" w:lineRule="atLeast"/>
              <w:rPr>
                <w:rFonts w:ascii="Arial" w:hAnsi="Arial" w:cs="Arial"/>
              </w:rPr>
            </w:pPr>
            <w:r w:rsidRPr="00A21008">
              <w:rPr>
                <w:rFonts w:ascii="Arial" w:hAnsi="Arial" w:cs="Arial"/>
              </w:rPr>
              <w:t>Sala szkoleniowa (do 20 osób)</w:t>
            </w:r>
            <w:r w:rsidRPr="00A21008">
              <w:rPr>
                <w:rStyle w:val="Odwoanieprzypisudolnego"/>
                <w:rFonts w:ascii="Arial" w:hAnsi="Arial" w:cs="Arial"/>
              </w:rPr>
              <w:footnoteReference w:id="13"/>
            </w:r>
          </w:p>
        </w:tc>
        <w:tc>
          <w:tcPr>
            <w:tcW w:w="6237" w:type="dxa"/>
          </w:tcPr>
          <w:p w14:paraId="43C8F90C" w14:textId="6F0A6B19" w:rsidR="00A21008" w:rsidRPr="00A21008" w:rsidRDefault="00A21008" w:rsidP="003A7E78">
            <w:pPr>
              <w:spacing w:before="60" w:after="60" w:line="23" w:lineRule="atLeast"/>
              <w:rPr>
                <w:rFonts w:ascii="Arial" w:hAnsi="Arial" w:cs="Arial"/>
              </w:rPr>
            </w:pPr>
            <w:r w:rsidRPr="00A21008">
              <w:rPr>
                <w:rFonts w:ascii="Arial" w:hAnsi="Arial" w:cs="Arial"/>
              </w:rPr>
              <w:t>Koszt obejmuje: zapewnienie odpowiednich warunków socjalnych oraz bhp, w tym uwzględniających niwelowanie barier architektonicznych w związku z udziałem w projekcie osób niepełnosprawnych. Sala szkoleniowa musi zapewnić 20 miejsc (stanowisk) szkoleniowych, być wyposażona</w:t>
            </w:r>
            <w:r w:rsidR="00130AE2">
              <w:rPr>
                <w:rFonts w:ascii="Arial" w:hAnsi="Arial" w:cs="Arial"/>
              </w:rPr>
              <w:t xml:space="preserve"> </w:t>
            </w:r>
            <w:r w:rsidRPr="00A21008">
              <w:rPr>
                <w:rFonts w:ascii="Arial" w:hAnsi="Arial" w:cs="Arial"/>
              </w:rPr>
              <w:t>w</w:t>
            </w:r>
            <w:r w:rsidR="00130AE2">
              <w:rPr>
                <w:rFonts w:ascii="Arial" w:hAnsi="Arial" w:cs="Arial"/>
              </w:rPr>
              <w:t> </w:t>
            </w:r>
            <w:r w:rsidRPr="00A21008">
              <w:rPr>
                <w:rFonts w:ascii="Arial" w:hAnsi="Arial" w:cs="Arial"/>
              </w:rPr>
              <w:t>projektor multimedialny, flipchart lub tablicę suchościeralną oraz posiadać dostęp do internetu.</w:t>
            </w:r>
          </w:p>
        </w:tc>
        <w:tc>
          <w:tcPr>
            <w:tcW w:w="1985" w:type="dxa"/>
          </w:tcPr>
          <w:p w14:paraId="10071821" w14:textId="0FDE5CAC" w:rsidR="00A21008" w:rsidRPr="00A21008" w:rsidRDefault="00EA6151" w:rsidP="003A7E78">
            <w:pPr>
              <w:spacing w:before="60" w:line="23" w:lineRule="atLeast"/>
              <w:rPr>
                <w:rFonts w:ascii="Arial" w:hAnsi="Arial" w:cs="Arial"/>
              </w:rPr>
            </w:pPr>
            <w:r>
              <w:rPr>
                <w:rFonts w:ascii="Arial" w:hAnsi="Arial" w:cs="Arial"/>
              </w:rPr>
              <w:t>6</w:t>
            </w:r>
            <w:r w:rsidR="00CE3CDF">
              <w:rPr>
                <w:rFonts w:ascii="Arial" w:hAnsi="Arial" w:cs="Arial"/>
              </w:rPr>
              <w:t>1</w:t>
            </w:r>
            <w:r w:rsidR="00A21008" w:rsidRPr="00A21008">
              <w:rPr>
                <w:rFonts w:ascii="Arial" w:hAnsi="Arial" w:cs="Arial"/>
              </w:rPr>
              <w:t>,00 zł/h</w:t>
            </w:r>
          </w:p>
        </w:tc>
      </w:tr>
      <w:tr w:rsidR="00E92083" w:rsidRPr="00A21008" w14:paraId="4332E035" w14:textId="77777777" w:rsidTr="008C13FF">
        <w:tc>
          <w:tcPr>
            <w:tcW w:w="1838" w:type="dxa"/>
          </w:tcPr>
          <w:p w14:paraId="4B439966" w14:textId="77777777" w:rsidR="00A21008" w:rsidRPr="00A21008" w:rsidRDefault="00A21008" w:rsidP="003A7E78">
            <w:pPr>
              <w:spacing w:before="60" w:line="23" w:lineRule="atLeast"/>
              <w:rPr>
                <w:rFonts w:ascii="Arial" w:hAnsi="Arial" w:cs="Arial"/>
              </w:rPr>
            </w:pPr>
            <w:r w:rsidRPr="00A21008">
              <w:rPr>
                <w:rFonts w:ascii="Arial" w:hAnsi="Arial" w:cs="Arial"/>
              </w:rPr>
              <w:t>Zwrot kosztów dojazdu</w:t>
            </w:r>
          </w:p>
        </w:tc>
        <w:tc>
          <w:tcPr>
            <w:tcW w:w="6237" w:type="dxa"/>
          </w:tcPr>
          <w:p w14:paraId="7B60C348" w14:textId="20249A2C" w:rsidR="00A21008" w:rsidRPr="00A21008" w:rsidRDefault="00A21008" w:rsidP="003A7E78">
            <w:pPr>
              <w:spacing w:before="60" w:line="23" w:lineRule="atLeast"/>
              <w:rPr>
                <w:rFonts w:ascii="Arial" w:hAnsi="Arial" w:cs="Arial"/>
              </w:rPr>
            </w:pPr>
            <w:r w:rsidRPr="00A21008">
              <w:rPr>
                <w:rFonts w:ascii="Arial" w:hAnsi="Arial" w:cs="Arial"/>
              </w:rPr>
              <w:t>Zwrot kosztów dojazdu dopuszczalny jest w związku z</w:t>
            </w:r>
            <w:r w:rsidR="00130AE2">
              <w:rPr>
                <w:rFonts w:ascii="Arial" w:hAnsi="Arial" w:cs="Arial"/>
              </w:rPr>
              <w:t> </w:t>
            </w:r>
            <w:r w:rsidRPr="00A21008">
              <w:rPr>
                <w:rFonts w:ascii="Arial" w:hAnsi="Arial" w:cs="Arial"/>
              </w:rPr>
              <w:t>uzasadnionymi potrzebami grupy docelowej.</w:t>
            </w:r>
          </w:p>
        </w:tc>
        <w:tc>
          <w:tcPr>
            <w:tcW w:w="1985" w:type="dxa"/>
            <w:vAlign w:val="center"/>
          </w:tcPr>
          <w:p w14:paraId="4A308A35" w14:textId="443FF778" w:rsidR="005D3E62" w:rsidRPr="00A21008" w:rsidRDefault="00A21008" w:rsidP="003A7E78">
            <w:pPr>
              <w:spacing w:before="60" w:after="60" w:line="23" w:lineRule="atLeast"/>
              <w:rPr>
                <w:rFonts w:ascii="Arial" w:hAnsi="Arial" w:cs="Arial"/>
              </w:rPr>
            </w:pPr>
            <w:r w:rsidRPr="00A21008">
              <w:rPr>
                <w:rFonts w:ascii="Arial" w:hAnsi="Arial" w:cs="Arial"/>
              </w:rPr>
              <w:t xml:space="preserve">Wydatek kwalifikowalny do wysokości opłat za środki transportu publicznego szynowego lub kołowego zgodnie z cennikiem biletów klasy </w:t>
            </w:r>
            <w:r w:rsidR="00EB02D1">
              <w:rPr>
                <w:rFonts w:ascii="Arial" w:hAnsi="Arial" w:cs="Arial"/>
              </w:rPr>
              <w:t xml:space="preserve">II </w:t>
            </w:r>
            <w:r w:rsidRPr="00A21008">
              <w:rPr>
                <w:rFonts w:ascii="Arial" w:hAnsi="Arial" w:cs="Arial"/>
              </w:rPr>
              <w:t>obowiązującym na danym obszarze.</w:t>
            </w:r>
          </w:p>
        </w:tc>
      </w:tr>
    </w:tbl>
    <w:p w14:paraId="21ACD035" w14:textId="77777777" w:rsidR="005232BA" w:rsidRPr="00F66F54" w:rsidRDefault="005232BA" w:rsidP="0004466D">
      <w:pPr>
        <w:spacing w:after="120" w:line="23" w:lineRule="atLeast"/>
        <w:jc w:val="both"/>
        <w:rPr>
          <w:rFonts w:ascii="Times New Roman" w:eastAsia="Calibri" w:hAnsi="Times New Roman" w:cs="Times New Roman"/>
          <w:b/>
          <w:sz w:val="24"/>
          <w:szCs w:val="24"/>
          <w:u w:val="single"/>
        </w:rPr>
      </w:pPr>
    </w:p>
    <w:sectPr w:rsidR="005232BA" w:rsidRPr="00F66F54" w:rsidSect="0052637C">
      <w:headerReference w:type="default" r:id="rId8"/>
      <w:footerReference w:type="default" r:id="rId9"/>
      <w:headerReference w:type="first" r:id="rId10"/>
      <w:pgSz w:w="11906" w:h="16838"/>
      <w:pgMar w:top="1417" w:right="1133"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8091" w14:textId="77777777" w:rsidR="0052637C" w:rsidRDefault="0052637C" w:rsidP="00EF1BF2">
      <w:pPr>
        <w:spacing w:after="0" w:line="240" w:lineRule="auto"/>
      </w:pPr>
      <w:r>
        <w:separator/>
      </w:r>
    </w:p>
  </w:endnote>
  <w:endnote w:type="continuationSeparator" w:id="0">
    <w:p w14:paraId="007F4949" w14:textId="77777777" w:rsidR="0052637C" w:rsidRDefault="0052637C" w:rsidP="00EF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01952"/>
      <w:docPartObj>
        <w:docPartGallery w:val="Page Numbers (Bottom of Page)"/>
        <w:docPartUnique/>
      </w:docPartObj>
    </w:sdtPr>
    <w:sdtEndPr/>
    <w:sdtContent>
      <w:p w14:paraId="34FCDCB9" w14:textId="77777777" w:rsidR="00837E9F" w:rsidRDefault="00837E9F">
        <w:pPr>
          <w:pStyle w:val="Stopka"/>
          <w:jc w:val="right"/>
        </w:pPr>
        <w:r>
          <w:fldChar w:fldCharType="begin"/>
        </w:r>
        <w:r>
          <w:instrText>PAGE   \* MERGEFORMAT</w:instrText>
        </w:r>
        <w:r>
          <w:fldChar w:fldCharType="separate"/>
        </w:r>
        <w:r>
          <w:rPr>
            <w:noProof/>
          </w:rPr>
          <w:t>3</w:t>
        </w:r>
        <w:r>
          <w:fldChar w:fldCharType="end"/>
        </w:r>
      </w:p>
    </w:sdtContent>
  </w:sdt>
  <w:p w14:paraId="63AC6E2F" w14:textId="77777777" w:rsidR="00837E9F" w:rsidRDefault="00837E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112D" w14:textId="77777777" w:rsidR="0052637C" w:rsidRDefault="0052637C" w:rsidP="00EF1BF2">
      <w:pPr>
        <w:spacing w:after="0" w:line="240" w:lineRule="auto"/>
      </w:pPr>
      <w:r>
        <w:separator/>
      </w:r>
    </w:p>
  </w:footnote>
  <w:footnote w:type="continuationSeparator" w:id="0">
    <w:p w14:paraId="6C49CD20" w14:textId="77777777" w:rsidR="0052637C" w:rsidRDefault="0052637C" w:rsidP="00EF1BF2">
      <w:pPr>
        <w:spacing w:after="0" w:line="240" w:lineRule="auto"/>
      </w:pPr>
      <w:r>
        <w:continuationSeparator/>
      </w:r>
    </w:p>
  </w:footnote>
  <w:footnote w:id="1">
    <w:p w14:paraId="15A19551" w14:textId="1CB403E0" w:rsidR="00837E9F" w:rsidRPr="00CD5FE0" w:rsidRDefault="00837E9F" w:rsidP="006A51B0">
      <w:pPr>
        <w:pStyle w:val="Tekstprzypisudolnego"/>
        <w:spacing w:line="276" w:lineRule="auto"/>
        <w:rPr>
          <w:rFonts w:ascii="Arial" w:hAnsi="Arial" w:cs="Arial"/>
          <w:color w:val="000000" w:themeColor="text1"/>
        </w:rPr>
      </w:pPr>
      <w:r w:rsidRPr="00CD5FE0">
        <w:rPr>
          <w:rStyle w:val="Odwoanieprzypisudolnego"/>
          <w:rFonts w:ascii="Arial" w:hAnsi="Arial" w:cs="Arial"/>
        </w:rPr>
        <w:footnoteRef/>
      </w:r>
      <w:r w:rsidRPr="00CD5FE0">
        <w:rPr>
          <w:rFonts w:ascii="Arial" w:hAnsi="Arial" w:cs="Arial"/>
        </w:rPr>
        <w:t xml:space="preserve"> </w:t>
      </w:r>
      <w:bookmarkStart w:id="0" w:name="_Hlk527024110"/>
      <w:r w:rsidRPr="00CD5FE0">
        <w:rPr>
          <w:rFonts w:ascii="Arial" w:hAnsi="Arial" w:cs="Arial"/>
          <w:color w:val="000000" w:themeColor="text1"/>
        </w:rPr>
        <w:t>Dopuszczalne stawki zostały określone na podstawie danych uzyskanych z rozeznania rynku wyliczonych w następujący sposób: średnia cena rynkowa z badania rynku z co najmniej 3 pozyskanych ofert/publikacji zaokrąglona do pełnych złotych.</w:t>
      </w:r>
      <w:bookmarkEnd w:id="0"/>
    </w:p>
  </w:footnote>
  <w:footnote w:id="2">
    <w:p w14:paraId="37F6952C" w14:textId="77777777" w:rsidR="00A21008" w:rsidRPr="00EB3BDF" w:rsidRDefault="00A21008" w:rsidP="00A21008">
      <w:pPr>
        <w:pStyle w:val="Tekstprzypisudolnego"/>
        <w:rPr>
          <w:rFonts w:ascii="Arial" w:hAnsi="Arial" w:cs="Arial"/>
        </w:rPr>
      </w:pPr>
      <w:r w:rsidRPr="00EB3BDF">
        <w:rPr>
          <w:rStyle w:val="Odwoanieprzypisudolnego"/>
          <w:rFonts w:ascii="Arial" w:hAnsi="Arial" w:cs="Arial"/>
        </w:rPr>
        <w:footnoteRef/>
      </w:r>
      <w:r w:rsidRPr="00EB3BDF">
        <w:rPr>
          <w:rFonts w:ascii="Arial" w:hAnsi="Arial" w:cs="Arial"/>
        </w:rPr>
        <w:t xml:space="preserve"> Ujęte w zestawieniu ceny są kwotami brutto.</w:t>
      </w:r>
    </w:p>
  </w:footnote>
  <w:footnote w:id="3">
    <w:p w14:paraId="644F8E5D" w14:textId="39056182" w:rsidR="006A51B0" w:rsidRPr="006A51B0" w:rsidRDefault="006A51B0" w:rsidP="006A51B0">
      <w:pPr>
        <w:pStyle w:val="Tekstprzypisudolnego"/>
        <w:rPr>
          <w:rFonts w:ascii="Arial" w:hAnsi="Arial" w:cs="Arial"/>
        </w:rPr>
      </w:pPr>
      <w:r w:rsidRPr="006A51B0">
        <w:rPr>
          <w:rStyle w:val="Odwoanieprzypisudolnego"/>
          <w:rFonts w:ascii="Arial" w:hAnsi="Arial" w:cs="Arial"/>
        </w:rPr>
        <w:footnoteRef/>
      </w:r>
      <w:r w:rsidRPr="006A51B0">
        <w:rPr>
          <w:rFonts w:ascii="Arial" w:hAnsi="Arial" w:cs="Arial"/>
        </w:rPr>
        <w:t xml:space="preserve"> W uzasadnionych przypadkach uczestnik może dobrowolnie zrezygnować z otrzymywania stypendium szkoleniowego</w:t>
      </w:r>
      <w:r>
        <w:rPr>
          <w:rFonts w:ascii="Arial" w:hAnsi="Arial" w:cs="Arial"/>
        </w:rPr>
        <w:t xml:space="preserve"> </w:t>
      </w:r>
      <w:r w:rsidRPr="006A51B0">
        <w:rPr>
          <w:rFonts w:ascii="Arial" w:hAnsi="Arial" w:cs="Arial"/>
        </w:rPr>
        <w:t>w projekcie. Beneficjent jest zobowiązany do ubezpieczenia od następstw nieszczęśliwych wypadków uczestnika projektu w sytuacji rezygnacji ze stypendium.</w:t>
      </w:r>
    </w:p>
  </w:footnote>
  <w:footnote w:id="4">
    <w:p w14:paraId="5B1572F4" w14:textId="5182F83E" w:rsidR="006A51B0" w:rsidRPr="006A51B0" w:rsidRDefault="006A51B0" w:rsidP="00AF4B52">
      <w:pPr>
        <w:pStyle w:val="Tekstprzypisudolnego"/>
        <w:rPr>
          <w:rFonts w:ascii="Arial" w:hAnsi="Arial" w:cs="Arial"/>
        </w:rPr>
      </w:pPr>
      <w:r w:rsidRPr="006A51B0">
        <w:rPr>
          <w:rStyle w:val="Odwoanieprzypisudolnego"/>
          <w:rFonts w:ascii="Arial" w:hAnsi="Arial" w:cs="Arial"/>
        </w:rPr>
        <w:footnoteRef/>
      </w:r>
      <w:r w:rsidRPr="006A51B0">
        <w:rPr>
          <w:rFonts w:ascii="Arial" w:hAnsi="Arial" w:cs="Arial"/>
        </w:rPr>
        <w:t xml:space="preserve"> Kwota stypendium jest kwotą brutto nieuwzględniającą składek na ubezpieczenie społeczne i zdrowotne płaconych w całości przez płatnika tj. podmiot kierujący na szkolenie.</w:t>
      </w:r>
    </w:p>
  </w:footnote>
  <w:footnote w:id="5">
    <w:p w14:paraId="60E7ED6E" w14:textId="77777777" w:rsidR="006A51B0" w:rsidRPr="006A51B0" w:rsidRDefault="006A51B0" w:rsidP="00AF4B52">
      <w:pPr>
        <w:pStyle w:val="Tekstprzypisudolnego"/>
        <w:rPr>
          <w:rFonts w:ascii="Arial" w:hAnsi="Arial" w:cs="Arial"/>
        </w:rPr>
      </w:pPr>
      <w:r w:rsidRPr="006A51B0">
        <w:rPr>
          <w:rStyle w:val="Odwoanieprzypisudolnego"/>
          <w:rFonts w:ascii="Arial" w:hAnsi="Arial" w:cs="Arial"/>
        </w:rPr>
        <w:footnoteRef/>
      </w:r>
      <w:r w:rsidRPr="006A51B0">
        <w:rPr>
          <w:rFonts w:ascii="Arial" w:hAnsi="Arial" w:cs="Arial"/>
        </w:rPr>
        <w:t xml:space="preserve"> Z uwzględnieniem waloryzacji, o której mowa w art. 72 ust. 6 ustawy o promocji zatrudnienia i instytucjach rynku pracy.</w:t>
      </w:r>
    </w:p>
  </w:footnote>
  <w:footnote w:id="6">
    <w:p w14:paraId="03B59809" w14:textId="77777777" w:rsidR="00A21008" w:rsidRPr="00376B8C" w:rsidRDefault="00A21008" w:rsidP="00A21008">
      <w:pPr>
        <w:pStyle w:val="Tekstprzypisudolnego"/>
        <w:rPr>
          <w:rFonts w:ascii="Arial" w:hAnsi="Arial" w:cs="Arial"/>
        </w:rPr>
      </w:pPr>
      <w:r w:rsidRPr="002A6E79">
        <w:rPr>
          <w:rStyle w:val="Odwoanieprzypisudolnego"/>
          <w:rFonts w:ascii="Arial" w:hAnsi="Arial" w:cs="Arial"/>
        </w:rPr>
        <w:footnoteRef/>
      </w:r>
      <w:r w:rsidRPr="002A6E79">
        <w:rPr>
          <w:rFonts w:ascii="Arial" w:hAnsi="Arial" w:cs="Arial"/>
        </w:rPr>
        <w:t xml:space="preserve"> </w:t>
      </w:r>
      <w:bookmarkStart w:id="1" w:name="_Hlk527096791"/>
      <w:r w:rsidRPr="00376B8C">
        <w:rPr>
          <w:rFonts w:ascii="Arial" w:hAnsi="Arial" w:cs="Arial"/>
        </w:rPr>
        <w:t>W kwestiach nieuregulowanych niniejszym dokumentem mają zastosowanie przepisy Ustawy o promocji zatrudnienia i instytucjach rynku pracy oraz odpowiednie rozporządzenia wykonawcze.</w:t>
      </w:r>
      <w:bookmarkEnd w:id="1"/>
    </w:p>
  </w:footnote>
  <w:footnote w:id="7">
    <w:p w14:paraId="6896335C" w14:textId="77777777" w:rsidR="00A21008" w:rsidRPr="00376B8C" w:rsidRDefault="00A21008" w:rsidP="00A21008">
      <w:pPr>
        <w:pStyle w:val="Tekstprzypisudolnego"/>
        <w:rPr>
          <w:rFonts w:ascii="Arial" w:hAnsi="Arial" w:cs="Arial"/>
        </w:rPr>
      </w:pPr>
      <w:r w:rsidRPr="00376B8C">
        <w:rPr>
          <w:rStyle w:val="Odwoanieprzypisudolnego"/>
          <w:rFonts w:ascii="Arial" w:hAnsi="Arial" w:cs="Arial"/>
        </w:rPr>
        <w:footnoteRef/>
      </w:r>
      <w:r w:rsidRPr="00376B8C">
        <w:rPr>
          <w:rFonts w:ascii="Arial" w:hAnsi="Arial" w:cs="Arial"/>
        </w:rPr>
        <w:t xml:space="preserve"> Polska Rama Jakości Praktyk i Staży dostępna jest na stronie: www.stazeipraktyki.pl/program</w:t>
      </w:r>
    </w:p>
  </w:footnote>
  <w:footnote w:id="8">
    <w:p w14:paraId="653D430F" w14:textId="56FCFAC0" w:rsidR="00A21008" w:rsidRPr="00376B8C" w:rsidRDefault="00A21008" w:rsidP="00D94FCC">
      <w:pPr>
        <w:pStyle w:val="Tekstprzypisudolnego"/>
        <w:rPr>
          <w:rFonts w:ascii="Arial" w:hAnsi="Arial" w:cs="Arial"/>
        </w:rPr>
      </w:pPr>
      <w:r w:rsidRPr="00376B8C">
        <w:rPr>
          <w:rStyle w:val="Odwoanieprzypisudolnego"/>
          <w:rFonts w:ascii="Arial" w:hAnsi="Arial" w:cs="Arial"/>
        </w:rPr>
        <w:footnoteRef/>
      </w:r>
      <w:r w:rsidRPr="00376B8C">
        <w:rPr>
          <w:rFonts w:ascii="Arial" w:hAnsi="Arial" w:cs="Arial"/>
        </w:rPr>
        <w:t xml:space="preserve"> Niepełna liczba godzin oznacza krótszy czas pracy uczestnika projektu odbywającego staż niż określony</w:t>
      </w:r>
      <w:r w:rsidR="0004466D">
        <w:rPr>
          <w:rFonts w:ascii="Arial" w:hAnsi="Arial" w:cs="Arial"/>
        </w:rPr>
        <w:t xml:space="preserve"> </w:t>
      </w:r>
      <w:r w:rsidRPr="00376B8C">
        <w:rPr>
          <w:rFonts w:ascii="Arial" w:hAnsi="Arial" w:cs="Arial"/>
        </w:rPr>
        <w:t>w</w:t>
      </w:r>
      <w:r w:rsidR="0004466D">
        <w:rPr>
          <w:rFonts w:ascii="Arial" w:hAnsi="Arial" w:cs="Arial"/>
        </w:rPr>
        <w:t> </w:t>
      </w:r>
      <w:r w:rsidRPr="00376B8C">
        <w:rPr>
          <w:rFonts w:ascii="Arial" w:hAnsi="Arial" w:cs="Arial"/>
        </w:rPr>
        <w:t>rozporządzeniu Ministra Pracy i Polityki Społecznej z dnia 20 sierpnia 2009 r. w sprawie szczegółowych warunków odbywania stażu przez bezrobotnych. Realizacja stażu w elastycznych godzinach lub niepełnej liczbie godzin ma zastosowanie w odniesieniu do staży realizowanych na stanowiskach, dla których zostało</w:t>
      </w:r>
      <w:r w:rsidR="0004466D">
        <w:rPr>
          <w:rFonts w:ascii="Arial" w:hAnsi="Arial" w:cs="Arial"/>
        </w:rPr>
        <w:t xml:space="preserve"> </w:t>
      </w:r>
      <w:r w:rsidRPr="00376B8C">
        <w:rPr>
          <w:rFonts w:ascii="Arial" w:hAnsi="Arial" w:cs="Arial"/>
        </w:rPr>
        <w:t>to przewidziane zgodnie z zasadami obowiązującymi w podmiocie przyjmującym na staż</w:t>
      </w:r>
    </w:p>
  </w:footnote>
  <w:footnote w:id="9">
    <w:p w14:paraId="5AC7CB10" w14:textId="77777777" w:rsidR="00A21008" w:rsidRPr="00376B8C" w:rsidRDefault="00A21008" w:rsidP="00D94FCC">
      <w:pPr>
        <w:pStyle w:val="Tekstprzypisudolnego"/>
        <w:rPr>
          <w:rFonts w:ascii="Arial" w:hAnsi="Arial" w:cs="Arial"/>
        </w:rPr>
      </w:pPr>
      <w:r w:rsidRPr="00376B8C">
        <w:rPr>
          <w:rStyle w:val="Odwoanieprzypisudolnego"/>
          <w:rFonts w:ascii="Arial" w:hAnsi="Arial" w:cs="Arial"/>
        </w:rPr>
        <w:footnoteRef/>
      </w:r>
      <w:r w:rsidRPr="00376B8C">
        <w:rPr>
          <w:rFonts w:ascii="Arial" w:hAnsi="Arial" w:cs="Arial"/>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10">
    <w:p w14:paraId="0A5BD83C" w14:textId="77777777" w:rsidR="00A21008" w:rsidRPr="00376B8C" w:rsidRDefault="00A21008" w:rsidP="00AF4B52">
      <w:pPr>
        <w:pStyle w:val="Tekstprzypisudolnego"/>
        <w:rPr>
          <w:rFonts w:ascii="Arial" w:hAnsi="Arial" w:cs="Arial"/>
        </w:rPr>
      </w:pPr>
      <w:r w:rsidRPr="00376B8C">
        <w:rPr>
          <w:rStyle w:val="Odwoanieprzypisudolnego"/>
          <w:rFonts w:ascii="Arial" w:hAnsi="Arial" w:cs="Arial"/>
        </w:rPr>
        <w:footnoteRef/>
      </w:r>
      <w:r w:rsidRPr="00376B8C">
        <w:rPr>
          <w:rFonts w:ascii="Arial" w:hAnsi="Arial" w:cs="Arial"/>
        </w:rPr>
        <w:t xml:space="preserve"> Z uwzględnieniem waloryzacji, o której mowa w art. 72 ust. 6 ustawy o promocji zatrudnienia i instytucjach rynku pracy.</w:t>
      </w:r>
    </w:p>
  </w:footnote>
  <w:footnote w:id="11">
    <w:p w14:paraId="00833B7C" w14:textId="77777777" w:rsidR="00A21008" w:rsidRPr="00376B8C" w:rsidRDefault="00A21008" w:rsidP="00AF4B52">
      <w:pPr>
        <w:pStyle w:val="Tekstprzypisudolnego"/>
        <w:rPr>
          <w:rFonts w:ascii="Arial" w:hAnsi="Arial" w:cs="Arial"/>
        </w:rPr>
      </w:pPr>
      <w:r w:rsidRPr="00376B8C">
        <w:rPr>
          <w:rStyle w:val="Odwoanieprzypisudolnego"/>
          <w:rFonts w:ascii="Arial" w:hAnsi="Arial" w:cs="Arial"/>
        </w:rPr>
        <w:footnoteRef/>
      </w:r>
      <w:r w:rsidRPr="00376B8C">
        <w:rPr>
          <w:rStyle w:val="Odwoanieprzypisudolnego"/>
          <w:rFonts w:ascii="Arial" w:hAnsi="Arial" w:cs="Arial"/>
        </w:rPr>
        <w:t xml:space="preserve"> </w:t>
      </w:r>
      <w:r w:rsidRPr="00376B8C">
        <w:rPr>
          <w:rFonts w:ascii="Arial" w:hAnsi="Arial" w:cs="Arial"/>
        </w:rPr>
        <w:t>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12">
    <w:p w14:paraId="458DB4AD" w14:textId="77777777" w:rsidR="00A21008" w:rsidRPr="00D94FCC" w:rsidRDefault="00A21008" w:rsidP="00D94FCC">
      <w:pPr>
        <w:pStyle w:val="Tekstprzypisudolnego"/>
        <w:rPr>
          <w:rFonts w:ascii="Arial" w:hAnsi="Arial" w:cs="Arial"/>
        </w:rPr>
      </w:pPr>
      <w:r w:rsidRPr="00B50933">
        <w:rPr>
          <w:rStyle w:val="Odwoanieprzypisudolnego"/>
          <w:rFonts w:ascii="Arial" w:hAnsi="Arial" w:cs="Arial"/>
        </w:rPr>
        <w:footnoteRef/>
      </w:r>
      <w:r w:rsidRPr="00A4571F">
        <w:rPr>
          <w:rFonts w:ascii="Times New Roman" w:hAnsi="Times New Roman" w:cs="Times New Roman"/>
        </w:rPr>
        <w:t xml:space="preserve"> </w:t>
      </w:r>
      <w:r w:rsidRPr="00D94FCC">
        <w:rPr>
          <w:rFonts w:ascii="Arial" w:hAnsi="Arial" w:cs="Arial"/>
        </w:rPr>
        <w:t>Kwota stypendium stażowego jest kwotą brutto nieuwzględniającą składek na ubezpieczenia społeczne płaconych w całości przez płatnika, tj. podmiot kierujący na staż.</w:t>
      </w:r>
    </w:p>
  </w:footnote>
  <w:footnote w:id="13">
    <w:p w14:paraId="68592644" w14:textId="77777777" w:rsidR="00A21008" w:rsidRPr="006828DB" w:rsidRDefault="00A21008" w:rsidP="00A21008">
      <w:pPr>
        <w:pStyle w:val="Tekstprzypisudolnego"/>
        <w:rPr>
          <w:rFonts w:ascii="Arial" w:hAnsi="Arial" w:cs="Arial"/>
        </w:rPr>
      </w:pPr>
      <w:r w:rsidRPr="002708BE">
        <w:rPr>
          <w:rStyle w:val="Odwoanieprzypisudolnego"/>
          <w:rFonts w:ascii="Arial" w:hAnsi="Arial" w:cs="Arial"/>
        </w:rPr>
        <w:footnoteRef/>
      </w:r>
      <w:r w:rsidRPr="000941F4">
        <w:rPr>
          <w:rFonts w:ascii="Times New Roman" w:hAnsi="Times New Roman" w:cs="Times New Roman"/>
        </w:rPr>
        <w:t xml:space="preserve"> </w:t>
      </w:r>
      <w:r w:rsidRPr="006828DB">
        <w:rPr>
          <w:rFonts w:ascii="Arial" w:hAnsi="Arial" w:cs="Arial"/>
        </w:rPr>
        <w:t>W przypadku, gdy podmiot realizujący projekt wnosi sale jako wkład własny niepieniężny, wartość wkładu wycenia się jako koszt amortyzacji lub wynajmu (stawkę można określić, np. cennik danej instytucji).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395D" w14:textId="2483689D" w:rsidR="00837E9F" w:rsidRPr="00653575" w:rsidRDefault="00AA1CE3" w:rsidP="00AA1CE3">
    <w:pPr>
      <w:pStyle w:val="Nagwek"/>
      <w:tabs>
        <w:tab w:val="clear" w:pos="4680"/>
        <w:tab w:val="clear" w:pos="9360"/>
        <w:tab w:val="left" w:pos="12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85E9" w14:textId="043244FD" w:rsidR="00AA1CE3" w:rsidRDefault="00AA1CE3">
    <w:pPr>
      <w:pStyle w:val="Nagwek"/>
    </w:pPr>
    <w:r>
      <w:rPr>
        <w:noProof/>
      </w:rPr>
      <w:drawing>
        <wp:inline distT="0" distB="0" distL="0" distR="0" wp14:anchorId="5E13F1C2" wp14:editId="57EB97FA">
          <wp:extent cx="5761355" cy="804545"/>
          <wp:effectExtent l="0" t="0" r="0" b="0"/>
          <wp:docPr id="1787473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645"/>
    <w:multiLevelType w:val="hybridMultilevel"/>
    <w:tmpl w:val="AB30E3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D0C9D"/>
    <w:multiLevelType w:val="hybridMultilevel"/>
    <w:tmpl w:val="33829330"/>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332B54"/>
    <w:multiLevelType w:val="multilevel"/>
    <w:tmpl w:val="E2A8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657A4"/>
    <w:multiLevelType w:val="hybridMultilevel"/>
    <w:tmpl w:val="83FE3E58"/>
    <w:lvl w:ilvl="0" w:tplc="0D2CA8C8">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D550D"/>
    <w:multiLevelType w:val="hybridMultilevel"/>
    <w:tmpl w:val="20245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D18F4"/>
    <w:multiLevelType w:val="hybridMultilevel"/>
    <w:tmpl w:val="97669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5C79"/>
    <w:multiLevelType w:val="hybridMultilevel"/>
    <w:tmpl w:val="A28A00E8"/>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0F5018"/>
    <w:multiLevelType w:val="hybridMultilevel"/>
    <w:tmpl w:val="279E1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C7171"/>
    <w:multiLevelType w:val="hybridMultilevel"/>
    <w:tmpl w:val="202455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5C5DB4"/>
    <w:multiLevelType w:val="hybridMultilevel"/>
    <w:tmpl w:val="F3DCC4B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3E307E1E"/>
    <w:multiLevelType w:val="hybridMultilevel"/>
    <w:tmpl w:val="2B640568"/>
    <w:lvl w:ilvl="0" w:tplc="C07E4BF4">
      <w:start w:val="1"/>
      <w:numFmt w:val="decimal"/>
      <w:lvlText w:val="%1."/>
      <w:lvlJc w:val="left"/>
      <w:pPr>
        <w:ind w:left="388" w:hanging="360"/>
      </w:pPr>
      <w:rPr>
        <w:rFonts w:ascii="Arial" w:hAnsi="Arial" w:cs="Arial" w:hint="default"/>
        <w:sz w:val="22"/>
      </w:rPr>
    </w:lvl>
    <w:lvl w:ilvl="1" w:tplc="04150019" w:tentative="1">
      <w:start w:val="1"/>
      <w:numFmt w:val="lowerLetter"/>
      <w:lvlText w:val="%2."/>
      <w:lvlJc w:val="left"/>
      <w:pPr>
        <w:ind w:left="1108" w:hanging="360"/>
      </w:pPr>
    </w:lvl>
    <w:lvl w:ilvl="2" w:tplc="0415001B">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1" w15:restartNumberingAfterBreak="0">
    <w:nsid w:val="43A96E5C"/>
    <w:multiLevelType w:val="hybridMultilevel"/>
    <w:tmpl w:val="094E495E"/>
    <w:lvl w:ilvl="0" w:tplc="D1C4F2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23673F"/>
    <w:multiLevelType w:val="hybridMultilevel"/>
    <w:tmpl w:val="F0C2D248"/>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245BE1"/>
    <w:multiLevelType w:val="hybridMultilevel"/>
    <w:tmpl w:val="A1303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8540BC"/>
    <w:multiLevelType w:val="hybridMultilevel"/>
    <w:tmpl w:val="942E3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E7244B"/>
    <w:multiLevelType w:val="hybridMultilevel"/>
    <w:tmpl w:val="7A602660"/>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100C74"/>
    <w:multiLevelType w:val="hybridMultilevel"/>
    <w:tmpl w:val="A60ED2FE"/>
    <w:lvl w:ilvl="0" w:tplc="1BA622C8">
      <w:start w:val="1"/>
      <w:numFmt w:val="decimal"/>
      <w:lvlText w:val="%1."/>
      <w:lvlJc w:val="left"/>
      <w:pPr>
        <w:ind w:left="1426" w:hanging="360"/>
      </w:pPr>
      <w:rPr>
        <w:color w:val="000000" w:themeColor="text1"/>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762D7BA0"/>
    <w:multiLevelType w:val="hybridMultilevel"/>
    <w:tmpl w:val="473C609E"/>
    <w:lvl w:ilvl="0" w:tplc="A89E5046">
      <w:start w:val="1"/>
      <w:numFmt w:val="decimal"/>
      <w:lvlText w:val="%1."/>
      <w:lvlJc w:val="left"/>
      <w:pPr>
        <w:ind w:left="720" w:hanging="360"/>
      </w:pPr>
      <w:rPr>
        <w:color w:val="000000" w:themeColor="text1"/>
      </w:rPr>
    </w:lvl>
    <w:lvl w:ilvl="1" w:tplc="0142B8FA">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363A4"/>
    <w:multiLevelType w:val="hybridMultilevel"/>
    <w:tmpl w:val="FB16FCA6"/>
    <w:lvl w:ilvl="0" w:tplc="04150011">
      <w:start w:val="1"/>
      <w:numFmt w:val="decimal"/>
      <w:lvlText w:val="%1)"/>
      <w:lvlJc w:val="left"/>
      <w:pPr>
        <w:ind w:left="901" w:hanging="360"/>
      </w:pPr>
    </w:lvl>
    <w:lvl w:ilvl="1" w:tplc="04150011">
      <w:start w:val="1"/>
      <w:numFmt w:val="decimal"/>
      <w:lvlText w:val="%2)"/>
      <w:lvlJc w:val="left"/>
      <w:pPr>
        <w:ind w:left="1621" w:hanging="360"/>
      </w:pPr>
    </w:lvl>
    <w:lvl w:ilvl="2" w:tplc="1CA68682">
      <w:start w:val="1"/>
      <w:numFmt w:val="decimal"/>
      <w:lvlText w:val="%3."/>
      <w:lvlJc w:val="left"/>
      <w:pPr>
        <w:ind w:left="2521" w:hanging="360"/>
      </w:pPr>
      <w:rPr>
        <w:rFonts w:hint="default"/>
      </w:r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 w15:restartNumberingAfterBreak="0">
    <w:nsid w:val="7B26360C"/>
    <w:multiLevelType w:val="hybridMultilevel"/>
    <w:tmpl w:val="39200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D6C72C7"/>
    <w:multiLevelType w:val="hybridMultilevel"/>
    <w:tmpl w:val="E9BC4D98"/>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4925974">
    <w:abstractNumId w:val="0"/>
  </w:num>
  <w:num w:numId="2" w16cid:durableId="1324311187">
    <w:abstractNumId w:val="18"/>
  </w:num>
  <w:num w:numId="3" w16cid:durableId="492185168">
    <w:abstractNumId w:val="11"/>
  </w:num>
  <w:num w:numId="4" w16cid:durableId="1023167173">
    <w:abstractNumId w:val="5"/>
  </w:num>
  <w:num w:numId="5" w16cid:durableId="1474519275">
    <w:abstractNumId w:val="17"/>
  </w:num>
  <w:num w:numId="6" w16cid:durableId="1230313324">
    <w:abstractNumId w:val="20"/>
  </w:num>
  <w:num w:numId="7" w16cid:durableId="670641734">
    <w:abstractNumId w:val="13"/>
  </w:num>
  <w:num w:numId="8" w16cid:durableId="1968655697">
    <w:abstractNumId w:val="3"/>
  </w:num>
  <w:num w:numId="9" w16cid:durableId="1495143207">
    <w:abstractNumId w:val="7"/>
  </w:num>
  <w:num w:numId="10" w16cid:durableId="1971979036">
    <w:abstractNumId w:val="14"/>
  </w:num>
  <w:num w:numId="11" w16cid:durableId="1803964690">
    <w:abstractNumId w:val="19"/>
  </w:num>
  <w:num w:numId="12" w16cid:durableId="1782796739">
    <w:abstractNumId w:val="9"/>
  </w:num>
  <w:num w:numId="13" w16cid:durableId="750393204">
    <w:abstractNumId w:val="16"/>
  </w:num>
  <w:num w:numId="14" w16cid:durableId="1349134568">
    <w:abstractNumId w:val="1"/>
  </w:num>
  <w:num w:numId="15" w16cid:durableId="497353250">
    <w:abstractNumId w:val="15"/>
  </w:num>
  <w:num w:numId="16" w16cid:durableId="1279608613">
    <w:abstractNumId w:val="4"/>
  </w:num>
  <w:num w:numId="17" w16cid:durableId="2102791849">
    <w:abstractNumId w:val="6"/>
  </w:num>
  <w:num w:numId="18" w16cid:durableId="172840884">
    <w:abstractNumId w:val="12"/>
  </w:num>
  <w:num w:numId="19" w16cid:durableId="515929654">
    <w:abstractNumId w:val="2"/>
  </w:num>
  <w:num w:numId="20" w16cid:durableId="1044059858">
    <w:abstractNumId w:val="8"/>
  </w:num>
  <w:num w:numId="21" w16cid:durableId="136775765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ED"/>
    <w:rsid w:val="00001270"/>
    <w:rsid w:val="00003D43"/>
    <w:rsid w:val="0000576E"/>
    <w:rsid w:val="00014CF2"/>
    <w:rsid w:val="00024BF9"/>
    <w:rsid w:val="00025149"/>
    <w:rsid w:val="00025C1E"/>
    <w:rsid w:val="00026866"/>
    <w:rsid w:val="00037F65"/>
    <w:rsid w:val="000415C9"/>
    <w:rsid w:val="00042708"/>
    <w:rsid w:val="0004466D"/>
    <w:rsid w:val="00047AE6"/>
    <w:rsid w:val="00052998"/>
    <w:rsid w:val="00052CEC"/>
    <w:rsid w:val="00060069"/>
    <w:rsid w:val="000630FB"/>
    <w:rsid w:val="00065B7E"/>
    <w:rsid w:val="00070CDF"/>
    <w:rsid w:val="0008357C"/>
    <w:rsid w:val="00085396"/>
    <w:rsid w:val="000923ED"/>
    <w:rsid w:val="00092823"/>
    <w:rsid w:val="000941F4"/>
    <w:rsid w:val="00097BE1"/>
    <w:rsid w:val="000A3015"/>
    <w:rsid w:val="000A34D0"/>
    <w:rsid w:val="000A531E"/>
    <w:rsid w:val="000B23C2"/>
    <w:rsid w:val="000B521F"/>
    <w:rsid w:val="000B7651"/>
    <w:rsid w:val="000C1378"/>
    <w:rsid w:val="000D1D07"/>
    <w:rsid w:val="000D658E"/>
    <w:rsid w:val="000D77AA"/>
    <w:rsid w:val="000E17CE"/>
    <w:rsid w:val="000E2DFF"/>
    <w:rsid w:val="000E4C4B"/>
    <w:rsid w:val="000F422F"/>
    <w:rsid w:val="001001AF"/>
    <w:rsid w:val="001049F4"/>
    <w:rsid w:val="0010560F"/>
    <w:rsid w:val="0010567C"/>
    <w:rsid w:val="00112297"/>
    <w:rsid w:val="001217A4"/>
    <w:rsid w:val="00121EEE"/>
    <w:rsid w:val="001240F4"/>
    <w:rsid w:val="00130AE2"/>
    <w:rsid w:val="001314C7"/>
    <w:rsid w:val="00133351"/>
    <w:rsid w:val="00141EDE"/>
    <w:rsid w:val="0014530D"/>
    <w:rsid w:val="0015067D"/>
    <w:rsid w:val="001618F1"/>
    <w:rsid w:val="00164C08"/>
    <w:rsid w:val="0016505D"/>
    <w:rsid w:val="00170752"/>
    <w:rsid w:val="00171A05"/>
    <w:rsid w:val="001733AC"/>
    <w:rsid w:val="00176A5B"/>
    <w:rsid w:val="00177CAB"/>
    <w:rsid w:val="00192941"/>
    <w:rsid w:val="001966A7"/>
    <w:rsid w:val="001A0045"/>
    <w:rsid w:val="001A3ED2"/>
    <w:rsid w:val="001B4324"/>
    <w:rsid w:val="001C00D7"/>
    <w:rsid w:val="001C466C"/>
    <w:rsid w:val="001D6AA9"/>
    <w:rsid w:val="001D7941"/>
    <w:rsid w:val="001D7A81"/>
    <w:rsid w:val="001D7B7B"/>
    <w:rsid w:val="001E3D30"/>
    <w:rsid w:val="001E5658"/>
    <w:rsid w:val="001E620C"/>
    <w:rsid w:val="001F0998"/>
    <w:rsid w:val="001F451C"/>
    <w:rsid w:val="001F6B03"/>
    <w:rsid w:val="002003ED"/>
    <w:rsid w:val="002051CE"/>
    <w:rsid w:val="00205DB1"/>
    <w:rsid w:val="0021423B"/>
    <w:rsid w:val="002176E6"/>
    <w:rsid w:val="00221186"/>
    <w:rsid w:val="00222DFA"/>
    <w:rsid w:val="00222EE7"/>
    <w:rsid w:val="0022515F"/>
    <w:rsid w:val="00225A16"/>
    <w:rsid w:val="00227D3B"/>
    <w:rsid w:val="0023030A"/>
    <w:rsid w:val="00231184"/>
    <w:rsid w:val="00234936"/>
    <w:rsid w:val="002533E8"/>
    <w:rsid w:val="00260BCC"/>
    <w:rsid w:val="00267C40"/>
    <w:rsid w:val="002708BE"/>
    <w:rsid w:val="0027185A"/>
    <w:rsid w:val="002749EE"/>
    <w:rsid w:val="00276DB7"/>
    <w:rsid w:val="0028038A"/>
    <w:rsid w:val="002829D3"/>
    <w:rsid w:val="00282DB7"/>
    <w:rsid w:val="00283E26"/>
    <w:rsid w:val="002900EB"/>
    <w:rsid w:val="00290BD2"/>
    <w:rsid w:val="002945B0"/>
    <w:rsid w:val="00295517"/>
    <w:rsid w:val="00295E21"/>
    <w:rsid w:val="002A1BCF"/>
    <w:rsid w:val="002A4794"/>
    <w:rsid w:val="002A5089"/>
    <w:rsid w:val="002A6E79"/>
    <w:rsid w:val="002A75C0"/>
    <w:rsid w:val="002B75B0"/>
    <w:rsid w:val="002D3909"/>
    <w:rsid w:val="002E4836"/>
    <w:rsid w:val="002E6A0A"/>
    <w:rsid w:val="002F72F9"/>
    <w:rsid w:val="00302AC7"/>
    <w:rsid w:val="00303A9A"/>
    <w:rsid w:val="0030520B"/>
    <w:rsid w:val="0030581C"/>
    <w:rsid w:val="00306166"/>
    <w:rsid w:val="00311FF7"/>
    <w:rsid w:val="00314789"/>
    <w:rsid w:val="00314C35"/>
    <w:rsid w:val="00323A24"/>
    <w:rsid w:val="0032512A"/>
    <w:rsid w:val="00325341"/>
    <w:rsid w:val="00325C8B"/>
    <w:rsid w:val="00331161"/>
    <w:rsid w:val="00334A25"/>
    <w:rsid w:val="003408DA"/>
    <w:rsid w:val="00352890"/>
    <w:rsid w:val="0035510B"/>
    <w:rsid w:val="00355174"/>
    <w:rsid w:val="0035635F"/>
    <w:rsid w:val="00362F96"/>
    <w:rsid w:val="00364AE6"/>
    <w:rsid w:val="00366874"/>
    <w:rsid w:val="003679DA"/>
    <w:rsid w:val="003701F1"/>
    <w:rsid w:val="00376B8C"/>
    <w:rsid w:val="00382CCB"/>
    <w:rsid w:val="003854B7"/>
    <w:rsid w:val="00386C92"/>
    <w:rsid w:val="003874F8"/>
    <w:rsid w:val="00390843"/>
    <w:rsid w:val="00390C72"/>
    <w:rsid w:val="003917FC"/>
    <w:rsid w:val="0039688C"/>
    <w:rsid w:val="0039693C"/>
    <w:rsid w:val="00397C23"/>
    <w:rsid w:val="003A2848"/>
    <w:rsid w:val="003A2B68"/>
    <w:rsid w:val="003A7E78"/>
    <w:rsid w:val="003C11CC"/>
    <w:rsid w:val="003C6142"/>
    <w:rsid w:val="003C74E1"/>
    <w:rsid w:val="003D0F19"/>
    <w:rsid w:val="003D1061"/>
    <w:rsid w:val="003D3E3A"/>
    <w:rsid w:val="003D5657"/>
    <w:rsid w:val="003D617A"/>
    <w:rsid w:val="003D634E"/>
    <w:rsid w:val="003D7B27"/>
    <w:rsid w:val="003E43E1"/>
    <w:rsid w:val="003F1204"/>
    <w:rsid w:val="003F2395"/>
    <w:rsid w:val="003F3F14"/>
    <w:rsid w:val="003F7229"/>
    <w:rsid w:val="00401979"/>
    <w:rsid w:val="004045FE"/>
    <w:rsid w:val="004059DF"/>
    <w:rsid w:val="00406EEB"/>
    <w:rsid w:val="00413943"/>
    <w:rsid w:val="00417938"/>
    <w:rsid w:val="00423184"/>
    <w:rsid w:val="00424CF7"/>
    <w:rsid w:val="0042514B"/>
    <w:rsid w:val="004267EE"/>
    <w:rsid w:val="00433A75"/>
    <w:rsid w:val="00434B5C"/>
    <w:rsid w:val="00440EFF"/>
    <w:rsid w:val="00442E77"/>
    <w:rsid w:val="00447081"/>
    <w:rsid w:val="004512A6"/>
    <w:rsid w:val="0045374B"/>
    <w:rsid w:val="00455B3F"/>
    <w:rsid w:val="00456D48"/>
    <w:rsid w:val="00456F5B"/>
    <w:rsid w:val="00460D7B"/>
    <w:rsid w:val="00461044"/>
    <w:rsid w:val="00461930"/>
    <w:rsid w:val="00463832"/>
    <w:rsid w:val="004756C2"/>
    <w:rsid w:val="00475BE3"/>
    <w:rsid w:val="004858E1"/>
    <w:rsid w:val="004871FF"/>
    <w:rsid w:val="00490700"/>
    <w:rsid w:val="0049102F"/>
    <w:rsid w:val="0049249B"/>
    <w:rsid w:val="0049249F"/>
    <w:rsid w:val="00494025"/>
    <w:rsid w:val="0049687A"/>
    <w:rsid w:val="004968D1"/>
    <w:rsid w:val="004A151D"/>
    <w:rsid w:val="004A21AD"/>
    <w:rsid w:val="004A269C"/>
    <w:rsid w:val="004A33DC"/>
    <w:rsid w:val="004B06B8"/>
    <w:rsid w:val="004B089E"/>
    <w:rsid w:val="004C459D"/>
    <w:rsid w:val="004C7CAF"/>
    <w:rsid w:val="004D008D"/>
    <w:rsid w:val="004E089A"/>
    <w:rsid w:val="004E7CDA"/>
    <w:rsid w:val="004F1DDF"/>
    <w:rsid w:val="004F44D9"/>
    <w:rsid w:val="004F6729"/>
    <w:rsid w:val="00500A76"/>
    <w:rsid w:val="0050187A"/>
    <w:rsid w:val="005209FE"/>
    <w:rsid w:val="00520D71"/>
    <w:rsid w:val="005232BA"/>
    <w:rsid w:val="005246CC"/>
    <w:rsid w:val="00525B73"/>
    <w:rsid w:val="0052637C"/>
    <w:rsid w:val="0053476B"/>
    <w:rsid w:val="005438D1"/>
    <w:rsid w:val="00550C64"/>
    <w:rsid w:val="00553DF2"/>
    <w:rsid w:val="0055491A"/>
    <w:rsid w:val="00562387"/>
    <w:rsid w:val="005629A2"/>
    <w:rsid w:val="00564B44"/>
    <w:rsid w:val="0056741F"/>
    <w:rsid w:val="0057446B"/>
    <w:rsid w:val="00575E55"/>
    <w:rsid w:val="00581067"/>
    <w:rsid w:val="005825B8"/>
    <w:rsid w:val="00587835"/>
    <w:rsid w:val="005916FE"/>
    <w:rsid w:val="0059592C"/>
    <w:rsid w:val="005A390D"/>
    <w:rsid w:val="005A6996"/>
    <w:rsid w:val="005B3A7C"/>
    <w:rsid w:val="005B47C4"/>
    <w:rsid w:val="005B5587"/>
    <w:rsid w:val="005B60E3"/>
    <w:rsid w:val="005C0B03"/>
    <w:rsid w:val="005C64B9"/>
    <w:rsid w:val="005D3E62"/>
    <w:rsid w:val="005D48D7"/>
    <w:rsid w:val="005D791A"/>
    <w:rsid w:val="005E0BB4"/>
    <w:rsid w:val="005E1003"/>
    <w:rsid w:val="005E2366"/>
    <w:rsid w:val="005F7367"/>
    <w:rsid w:val="00600098"/>
    <w:rsid w:val="00604721"/>
    <w:rsid w:val="00610749"/>
    <w:rsid w:val="00611C6C"/>
    <w:rsid w:val="0061290F"/>
    <w:rsid w:val="00620EAE"/>
    <w:rsid w:val="00625EB7"/>
    <w:rsid w:val="0062698E"/>
    <w:rsid w:val="006317CE"/>
    <w:rsid w:val="00634B44"/>
    <w:rsid w:val="00635959"/>
    <w:rsid w:val="006361F6"/>
    <w:rsid w:val="00636527"/>
    <w:rsid w:val="00641034"/>
    <w:rsid w:val="006413DA"/>
    <w:rsid w:val="00643150"/>
    <w:rsid w:val="0065116F"/>
    <w:rsid w:val="00653575"/>
    <w:rsid w:val="00654674"/>
    <w:rsid w:val="00654BC3"/>
    <w:rsid w:val="00655227"/>
    <w:rsid w:val="00661936"/>
    <w:rsid w:val="00670937"/>
    <w:rsid w:val="00671820"/>
    <w:rsid w:val="00673622"/>
    <w:rsid w:val="00677409"/>
    <w:rsid w:val="006828DB"/>
    <w:rsid w:val="0068435A"/>
    <w:rsid w:val="006848F0"/>
    <w:rsid w:val="00687FEA"/>
    <w:rsid w:val="00694336"/>
    <w:rsid w:val="0069730A"/>
    <w:rsid w:val="006A51B0"/>
    <w:rsid w:val="006A69B0"/>
    <w:rsid w:val="006B26D3"/>
    <w:rsid w:val="006B384A"/>
    <w:rsid w:val="006B395C"/>
    <w:rsid w:val="006B4C1E"/>
    <w:rsid w:val="006B63E4"/>
    <w:rsid w:val="006B7111"/>
    <w:rsid w:val="006C3EF6"/>
    <w:rsid w:val="006C4E75"/>
    <w:rsid w:val="006D3040"/>
    <w:rsid w:val="006D4238"/>
    <w:rsid w:val="006D53A4"/>
    <w:rsid w:val="006D573E"/>
    <w:rsid w:val="006D59C7"/>
    <w:rsid w:val="006E3771"/>
    <w:rsid w:val="006E4247"/>
    <w:rsid w:val="006F2CCD"/>
    <w:rsid w:val="006F36EA"/>
    <w:rsid w:val="006F6FEB"/>
    <w:rsid w:val="006F7C65"/>
    <w:rsid w:val="00703966"/>
    <w:rsid w:val="007057E7"/>
    <w:rsid w:val="00705BE4"/>
    <w:rsid w:val="00710760"/>
    <w:rsid w:val="00710CD0"/>
    <w:rsid w:val="00711FF9"/>
    <w:rsid w:val="00712320"/>
    <w:rsid w:val="007124DB"/>
    <w:rsid w:val="0071592E"/>
    <w:rsid w:val="0071693C"/>
    <w:rsid w:val="00717BBB"/>
    <w:rsid w:val="00720441"/>
    <w:rsid w:val="00720A61"/>
    <w:rsid w:val="0072105A"/>
    <w:rsid w:val="00721DFC"/>
    <w:rsid w:val="00723171"/>
    <w:rsid w:val="007267ED"/>
    <w:rsid w:val="00733605"/>
    <w:rsid w:val="00737EB9"/>
    <w:rsid w:val="0074114D"/>
    <w:rsid w:val="007530AD"/>
    <w:rsid w:val="00753647"/>
    <w:rsid w:val="00753DD3"/>
    <w:rsid w:val="007568E7"/>
    <w:rsid w:val="007609E2"/>
    <w:rsid w:val="00773A36"/>
    <w:rsid w:val="00775C6A"/>
    <w:rsid w:val="00782A99"/>
    <w:rsid w:val="00796298"/>
    <w:rsid w:val="00796CF8"/>
    <w:rsid w:val="007B3802"/>
    <w:rsid w:val="007B3C45"/>
    <w:rsid w:val="007B632E"/>
    <w:rsid w:val="007B7E5F"/>
    <w:rsid w:val="007C2BE0"/>
    <w:rsid w:val="007C30F2"/>
    <w:rsid w:val="007D2A76"/>
    <w:rsid w:val="007D30D3"/>
    <w:rsid w:val="007D69F2"/>
    <w:rsid w:val="007E18C7"/>
    <w:rsid w:val="007E22E1"/>
    <w:rsid w:val="007E663E"/>
    <w:rsid w:val="007F0C63"/>
    <w:rsid w:val="007F2B31"/>
    <w:rsid w:val="007F2CBB"/>
    <w:rsid w:val="007F40F6"/>
    <w:rsid w:val="007F53F7"/>
    <w:rsid w:val="007F6FC1"/>
    <w:rsid w:val="008011E2"/>
    <w:rsid w:val="008014A3"/>
    <w:rsid w:val="008018FD"/>
    <w:rsid w:val="008029DB"/>
    <w:rsid w:val="00802BD0"/>
    <w:rsid w:val="00805BB9"/>
    <w:rsid w:val="008121FC"/>
    <w:rsid w:val="0081681A"/>
    <w:rsid w:val="008173BC"/>
    <w:rsid w:val="00822E97"/>
    <w:rsid w:val="00824409"/>
    <w:rsid w:val="008260A2"/>
    <w:rsid w:val="00826955"/>
    <w:rsid w:val="00830EDD"/>
    <w:rsid w:val="00832146"/>
    <w:rsid w:val="00835881"/>
    <w:rsid w:val="008362D0"/>
    <w:rsid w:val="00837E9F"/>
    <w:rsid w:val="00842B07"/>
    <w:rsid w:val="00845560"/>
    <w:rsid w:val="00845CF7"/>
    <w:rsid w:val="008505E2"/>
    <w:rsid w:val="00852BDD"/>
    <w:rsid w:val="008603ED"/>
    <w:rsid w:val="00860DEB"/>
    <w:rsid w:val="00865EEB"/>
    <w:rsid w:val="00866743"/>
    <w:rsid w:val="008679EB"/>
    <w:rsid w:val="008750FB"/>
    <w:rsid w:val="0088112C"/>
    <w:rsid w:val="00890480"/>
    <w:rsid w:val="00896588"/>
    <w:rsid w:val="00897E3D"/>
    <w:rsid w:val="008A3CBF"/>
    <w:rsid w:val="008A4DEB"/>
    <w:rsid w:val="008A5FD6"/>
    <w:rsid w:val="008A628D"/>
    <w:rsid w:val="008A6C8F"/>
    <w:rsid w:val="008A701F"/>
    <w:rsid w:val="008B42FE"/>
    <w:rsid w:val="008B587F"/>
    <w:rsid w:val="008B59A7"/>
    <w:rsid w:val="008B5C8F"/>
    <w:rsid w:val="008C13FF"/>
    <w:rsid w:val="008C39E9"/>
    <w:rsid w:val="008E7CED"/>
    <w:rsid w:val="008F1811"/>
    <w:rsid w:val="008F65BC"/>
    <w:rsid w:val="009063E5"/>
    <w:rsid w:val="0090771C"/>
    <w:rsid w:val="0091136F"/>
    <w:rsid w:val="00911DDC"/>
    <w:rsid w:val="00912B72"/>
    <w:rsid w:val="00913A85"/>
    <w:rsid w:val="00915302"/>
    <w:rsid w:val="009168FA"/>
    <w:rsid w:val="00917AF3"/>
    <w:rsid w:val="00922AA1"/>
    <w:rsid w:val="00923440"/>
    <w:rsid w:val="009243DF"/>
    <w:rsid w:val="009259A2"/>
    <w:rsid w:val="00925CFC"/>
    <w:rsid w:val="00927E30"/>
    <w:rsid w:val="009315CD"/>
    <w:rsid w:val="009343EC"/>
    <w:rsid w:val="009409A2"/>
    <w:rsid w:val="00944382"/>
    <w:rsid w:val="00944A85"/>
    <w:rsid w:val="00946658"/>
    <w:rsid w:val="00947EF6"/>
    <w:rsid w:val="00954DBB"/>
    <w:rsid w:val="00957C50"/>
    <w:rsid w:val="009613A3"/>
    <w:rsid w:val="00964D03"/>
    <w:rsid w:val="00965839"/>
    <w:rsid w:val="009667A8"/>
    <w:rsid w:val="00966DB4"/>
    <w:rsid w:val="009737A6"/>
    <w:rsid w:val="00974C16"/>
    <w:rsid w:val="00975135"/>
    <w:rsid w:val="00983B2F"/>
    <w:rsid w:val="00984EF2"/>
    <w:rsid w:val="009960C5"/>
    <w:rsid w:val="009A2A8F"/>
    <w:rsid w:val="009A5E65"/>
    <w:rsid w:val="009A6928"/>
    <w:rsid w:val="009B0EEF"/>
    <w:rsid w:val="009B15DC"/>
    <w:rsid w:val="009B1FA8"/>
    <w:rsid w:val="009B57BD"/>
    <w:rsid w:val="009C22DE"/>
    <w:rsid w:val="009C3E99"/>
    <w:rsid w:val="009C7985"/>
    <w:rsid w:val="009D5FCA"/>
    <w:rsid w:val="009D6DEF"/>
    <w:rsid w:val="009E5F33"/>
    <w:rsid w:val="009E6659"/>
    <w:rsid w:val="009E6C6A"/>
    <w:rsid w:val="009F03A6"/>
    <w:rsid w:val="009F0ED8"/>
    <w:rsid w:val="009F0F27"/>
    <w:rsid w:val="009F3609"/>
    <w:rsid w:val="00A01798"/>
    <w:rsid w:val="00A10D46"/>
    <w:rsid w:val="00A14200"/>
    <w:rsid w:val="00A148D1"/>
    <w:rsid w:val="00A21008"/>
    <w:rsid w:val="00A26A09"/>
    <w:rsid w:val="00A26F9C"/>
    <w:rsid w:val="00A2735F"/>
    <w:rsid w:val="00A36A1E"/>
    <w:rsid w:val="00A423D7"/>
    <w:rsid w:val="00A50027"/>
    <w:rsid w:val="00A506E5"/>
    <w:rsid w:val="00A54CCD"/>
    <w:rsid w:val="00A56120"/>
    <w:rsid w:val="00A65435"/>
    <w:rsid w:val="00A74842"/>
    <w:rsid w:val="00A75439"/>
    <w:rsid w:val="00A77CE0"/>
    <w:rsid w:val="00A77E41"/>
    <w:rsid w:val="00A86014"/>
    <w:rsid w:val="00A86A18"/>
    <w:rsid w:val="00A901A6"/>
    <w:rsid w:val="00A904D1"/>
    <w:rsid w:val="00A90AF7"/>
    <w:rsid w:val="00A90AFD"/>
    <w:rsid w:val="00A910DC"/>
    <w:rsid w:val="00A92284"/>
    <w:rsid w:val="00A95608"/>
    <w:rsid w:val="00A96038"/>
    <w:rsid w:val="00AA1CE3"/>
    <w:rsid w:val="00AA33F3"/>
    <w:rsid w:val="00AB06BB"/>
    <w:rsid w:val="00AB3226"/>
    <w:rsid w:val="00AB4E5D"/>
    <w:rsid w:val="00AC29E6"/>
    <w:rsid w:val="00AC5DF7"/>
    <w:rsid w:val="00AC5F5C"/>
    <w:rsid w:val="00AD0672"/>
    <w:rsid w:val="00AD1089"/>
    <w:rsid w:val="00AD1979"/>
    <w:rsid w:val="00AD2013"/>
    <w:rsid w:val="00AD4710"/>
    <w:rsid w:val="00AE2473"/>
    <w:rsid w:val="00AE6785"/>
    <w:rsid w:val="00AF2CF4"/>
    <w:rsid w:val="00AF49A1"/>
    <w:rsid w:val="00AF4B52"/>
    <w:rsid w:val="00AF5196"/>
    <w:rsid w:val="00AF6679"/>
    <w:rsid w:val="00AF690C"/>
    <w:rsid w:val="00AF6E5C"/>
    <w:rsid w:val="00B024BB"/>
    <w:rsid w:val="00B03030"/>
    <w:rsid w:val="00B04674"/>
    <w:rsid w:val="00B06B6D"/>
    <w:rsid w:val="00B11260"/>
    <w:rsid w:val="00B23EC1"/>
    <w:rsid w:val="00B26F63"/>
    <w:rsid w:val="00B27AC6"/>
    <w:rsid w:val="00B3099E"/>
    <w:rsid w:val="00B32900"/>
    <w:rsid w:val="00B34587"/>
    <w:rsid w:val="00B37E84"/>
    <w:rsid w:val="00B41731"/>
    <w:rsid w:val="00B44102"/>
    <w:rsid w:val="00B50933"/>
    <w:rsid w:val="00B513C1"/>
    <w:rsid w:val="00B52487"/>
    <w:rsid w:val="00B60349"/>
    <w:rsid w:val="00B61966"/>
    <w:rsid w:val="00B6212D"/>
    <w:rsid w:val="00B63368"/>
    <w:rsid w:val="00B710D1"/>
    <w:rsid w:val="00B73DAB"/>
    <w:rsid w:val="00B77545"/>
    <w:rsid w:val="00B81E7A"/>
    <w:rsid w:val="00B8641A"/>
    <w:rsid w:val="00B938FD"/>
    <w:rsid w:val="00BA473C"/>
    <w:rsid w:val="00BA6762"/>
    <w:rsid w:val="00BC0CE5"/>
    <w:rsid w:val="00BC2A72"/>
    <w:rsid w:val="00BC5D80"/>
    <w:rsid w:val="00BD49A9"/>
    <w:rsid w:val="00BD5FC8"/>
    <w:rsid w:val="00BE22ED"/>
    <w:rsid w:val="00BE5503"/>
    <w:rsid w:val="00BE7434"/>
    <w:rsid w:val="00BF1FBD"/>
    <w:rsid w:val="00BF2A48"/>
    <w:rsid w:val="00BF50A1"/>
    <w:rsid w:val="00BF6D60"/>
    <w:rsid w:val="00BF75F1"/>
    <w:rsid w:val="00C0023E"/>
    <w:rsid w:val="00C03C59"/>
    <w:rsid w:val="00C108EE"/>
    <w:rsid w:val="00C1449A"/>
    <w:rsid w:val="00C166FF"/>
    <w:rsid w:val="00C16F38"/>
    <w:rsid w:val="00C205BB"/>
    <w:rsid w:val="00C22104"/>
    <w:rsid w:val="00C23563"/>
    <w:rsid w:val="00C23FAF"/>
    <w:rsid w:val="00C249A6"/>
    <w:rsid w:val="00C32CCE"/>
    <w:rsid w:val="00C33C78"/>
    <w:rsid w:val="00C37F7B"/>
    <w:rsid w:val="00C41EEE"/>
    <w:rsid w:val="00C42C78"/>
    <w:rsid w:val="00C42CFB"/>
    <w:rsid w:val="00C46190"/>
    <w:rsid w:val="00C46D09"/>
    <w:rsid w:val="00C47F14"/>
    <w:rsid w:val="00C500B7"/>
    <w:rsid w:val="00C50C61"/>
    <w:rsid w:val="00C54E79"/>
    <w:rsid w:val="00C56059"/>
    <w:rsid w:val="00C60890"/>
    <w:rsid w:val="00C60FC6"/>
    <w:rsid w:val="00C61CCD"/>
    <w:rsid w:val="00C64460"/>
    <w:rsid w:val="00C701A8"/>
    <w:rsid w:val="00C7292E"/>
    <w:rsid w:val="00C764F7"/>
    <w:rsid w:val="00C81D94"/>
    <w:rsid w:val="00C935F9"/>
    <w:rsid w:val="00C94ECC"/>
    <w:rsid w:val="00CA71D0"/>
    <w:rsid w:val="00CA71FB"/>
    <w:rsid w:val="00CB2D2D"/>
    <w:rsid w:val="00CB5E61"/>
    <w:rsid w:val="00CD06C7"/>
    <w:rsid w:val="00CD2864"/>
    <w:rsid w:val="00CD5448"/>
    <w:rsid w:val="00CD5FE0"/>
    <w:rsid w:val="00CE3CDF"/>
    <w:rsid w:val="00CE5CDC"/>
    <w:rsid w:val="00CE6DEA"/>
    <w:rsid w:val="00CE70A1"/>
    <w:rsid w:val="00CE70EC"/>
    <w:rsid w:val="00CF1CD1"/>
    <w:rsid w:val="00CF4BB7"/>
    <w:rsid w:val="00D013FA"/>
    <w:rsid w:val="00D1151E"/>
    <w:rsid w:val="00D14ADA"/>
    <w:rsid w:val="00D22E94"/>
    <w:rsid w:val="00D24E76"/>
    <w:rsid w:val="00D3169C"/>
    <w:rsid w:val="00D33CF7"/>
    <w:rsid w:val="00D34A8E"/>
    <w:rsid w:val="00D53EF9"/>
    <w:rsid w:val="00D554B3"/>
    <w:rsid w:val="00D56AD1"/>
    <w:rsid w:val="00D56CFB"/>
    <w:rsid w:val="00D65D9E"/>
    <w:rsid w:val="00D70D07"/>
    <w:rsid w:val="00D75570"/>
    <w:rsid w:val="00D803DC"/>
    <w:rsid w:val="00D86EE2"/>
    <w:rsid w:val="00D87D1A"/>
    <w:rsid w:val="00D94FCC"/>
    <w:rsid w:val="00DB1900"/>
    <w:rsid w:val="00DB2401"/>
    <w:rsid w:val="00DB330C"/>
    <w:rsid w:val="00DB5770"/>
    <w:rsid w:val="00DB58C0"/>
    <w:rsid w:val="00DC095C"/>
    <w:rsid w:val="00DC191F"/>
    <w:rsid w:val="00DC2480"/>
    <w:rsid w:val="00DC4C6A"/>
    <w:rsid w:val="00DC68AB"/>
    <w:rsid w:val="00DC7F40"/>
    <w:rsid w:val="00DD3632"/>
    <w:rsid w:val="00DD4486"/>
    <w:rsid w:val="00DD5AF1"/>
    <w:rsid w:val="00DD739D"/>
    <w:rsid w:val="00DD744A"/>
    <w:rsid w:val="00DE1B88"/>
    <w:rsid w:val="00DF11D4"/>
    <w:rsid w:val="00DF1208"/>
    <w:rsid w:val="00DF1BA6"/>
    <w:rsid w:val="00DF5134"/>
    <w:rsid w:val="00DF58C8"/>
    <w:rsid w:val="00DF6A82"/>
    <w:rsid w:val="00E033F0"/>
    <w:rsid w:val="00E03E65"/>
    <w:rsid w:val="00E12FD4"/>
    <w:rsid w:val="00E2159B"/>
    <w:rsid w:val="00E24533"/>
    <w:rsid w:val="00E249CB"/>
    <w:rsid w:val="00E312D7"/>
    <w:rsid w:val="00E35878"/>
    <w:rsid w:val="00E371E0"/>
    <w:rsid w:val="00E42486"/>
    <w:rsid w:val="00E56233"/>
    <w:rsid w:val="00E60E52"/>
    <w:rsid w:val="00E634BE"/>
    <w:rsid w:val="00E6468A"/>
    <w:rsid w:val="00E66D52"/>
    <w:rsid w:val="00E735B7"/>
    <w:rsid w:val="00E81D95"/>
    <w:rsid w:val="00E87C3E"/>
    <w:rsid w:val="00E90BCF"/>
    <w:rsid w:val="00E92083"/>
    <w:rsid w:val="00E95401"/>
    <w:rsid w:val="00E97FD8"/>
    <w:rsid w:val="00EA044F"/>
    <w:rsid w:val="00EA0B3A"/>
    <w:rsid w:val="00EA319B"/>
    <w:rsid w:val="00EA4E0A"/>
    <w:rsid w:val="00EA6151"/>
    <w:rsid w:val="00EA7EAB"/>
    <w:rsid w:val="00EB02D1"/>
    <w:rsid w:val="00EB3871"/>
    <w:rsid w:val="00EB3BDF"/>
    <w:rsid w:val="00EC0182"/>
    <w:rsid w:val="00EC0B95"/>
    <w:rsid w:val="00EC24A6"/>
    <w:rsid w:val="00EC568D"/>
    <w:rsid w:val="00ED0806"/>
    <w:rsid w:val="00ED0EEB"/>
    <w:rsid w:val="00ED143E"/>
    <w:rsid w:val="00ED18F5"/>
    <w:rsid w:val="00ED43AC"/>
    <w:rsid w:val="00EE102A"/>
    <w:rsid w:val="00EE3444"/>
    <w:rsid w:val="00EF1BF2"/>
    <w:rsid w:val="00EF3068"/>
    <w:rsid w:val="00EF4FF7"/>
    <w:rsid w:val="00EF76CF"/>
    <w:rsid w:val="00EF7C04"/>
    <w:rsid w:val="00F00717"/>
    <w:rsid w:val="00F00B24"/>
    <w:rsid w:val="00F03F15"/>
    <w:rsid w:val="00F040FE"/>
    <w:rsid w:val="00F04CCC"/>
    <w:rsid w:val="00F13B3B"/>
    <w:rsid w:val="00F15217"/>
    <w:rsid w:val="00F152B6"/>
    <w:rsid w:val="00F17449"/>
    <w:rsid w:val="00F222C0"/>
    <w:rsid w:val="00F22436"/>
    <w:rsid w:val="00F33E38"/>
    <w:rsid w:val="00F34924"/>
    <w:rsid w:val="00F404D9"/>
    <w:rsid w:val="00F421BF"/>
    <w:rsid w:val="00F43639"/>
    <w:rsid w:val="00F44B4D"/>
    <w:rsid w:val="00F469AD"/>
    <w:rsid w:val="00F5430C"/>
    <w:rsid w:val="00F55CD9"/>
    <w:rsid w:val="00F57E00"/>
    <w:rsid w:val="00F57FCF"/>
    <w:rsid w:val="00F66460"/>
    <w:rsid w:val="00F66F54"/>
    <w:rsid w:val="00F67042"/>
    <w:rsid w:val="00F70785"/>
    <w:rsid w:val="00F74297"/>
    <w:rsid w:val="00F75191"/>
    <w:rsid w:val="00F80941"/>
    <w:rsid w:val="00F83255"/>
    <w:rsid w:val="00F86C9D"/>
    <w:rsid w:val="00F92D1C"/>
    <w:rsid w:val="00FA2BA7"/>
    <w:rsid w:val="00FA334C"/>
    <w:rsid w:val="00FA47B8"/>
    <w:rsid w:val="00FA554E"/>
    <w:rsid w:val="00FB3849"/>
    <w:rsid w:val="00FB45A9"/>
    <w:rsid w:val="00FB53F3"/>
    <w:rsid w:val="00FC0963"/>
    <w:rsid w:val="00FC33CD"/>
    <w:rsid w:val="00FC3FDF"/>
    <w:rsid w:val="00FC7DE6"/>
    <w:rsid w:val="00FD0153"/>
    <w:rsid w:val="00FD13DD"/>
    <w:rsid w:val="00FD2995"/>
    <w:rsid w:val="00FD66D3"/>
    <w:rsid w:val="00FD7A78"/>
    <w:rsid w:val="00FD7A7D"/>
    <w:rsid w:val="00FE0152"/>
    <w:rsid w:val="00FE286D"/>
    <w:rsid w:val="00FE3004"/>
    <w:rsid w:val="00FE42B1"/>
    <w:rsid w:val="00FE6223"/>
    <w:rsid w:val="00FE6B6D"/>
    <w:rsid w:val="00FF162F"/>
    <w:rsid w:val="00FF20DD"/>
    <w:rsid w:val="00FF5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6723"/>
  <w15:docId w15:val="{6E5FD1D5-64D3-4D80-8BA2-A7004EA5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1BF2"/>
    <w:pPr>
      <w:tabs>
        <w:tab w:val="center" w:pos="4680"/>
        <w:tab w:val="right" w:pos="9360"/>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EF1BF2"/>
    <w:rPr>
      <w:rFonts w:eastAsiaTheme="minorEastAsia"/>
      <w:lang w:eastAsia="pl-PL"/>
    </w:rPr>
  </w:style>
  <w:style w:type="paragraph" w:styleId="Tekstdymka">
    <w:name w:val="Balloon Text"/>
    <w:basedOn w:val="Normalny"/>
    <w:link w:val="TekstdymkaZnak"/>
    <w:uiPriority w:val="99"/>
    <w:semiHidden/>
    <w:unhideWhenUsed/>
    <w:rsid w:val="00EF1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BF2"/>
    <w:rPr>
      <w:rFonts w:ascii="Tahoma" w:hAnsi="Tahoma" w:cs="Tahoma"/>
      <w:sz w:val="16"/>
      <w:szCs w:val="16"/>
    </w:rPr>
  </w:style>
  <w:style w:type="paragraph" w:styleId="Stopka">
    <w:name w:val="footer"/>
    <w:basedOn w:val="Normalny"/>
    <w:link w:val="StopkaZnak"/>
    <w:uiPriority w:val="99"/>
    <w:unhideWhenUsed/>
    <w:rsid w:val="00EF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F2"/>
  </w:style>
  <w:style w:type="table" w:styleId="Tabela-Siatka">
    <w:name w:val="Table Grid"/>
    <w:basedOn w:val="Standardowy"/>
    <w:uiPriority w:val="59"/>
    <w:rsid w:val="00EF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umerowanie,List Paragraph,Kolorowa lista — akcent 11"/>
    <w:basedOn w:val="Normalny"/>
    <w:link w:val="AkapitzlistZnak"/>
    <w:uiPriority w:val="34"/>
    <w:qFormat/>
    <w:rsid w:val="009A5E65"/>
    <w:pPr>
      <w:ind w:left="720"/>
      <w:contextualSpacing/>
    </w:pPr>
  </w:style>
  <w:style w:type="paragraph" w:styleId="Tekstprzypisukocowego">
    <w:name w:val="endnote text"/>
    <w:basedOn w:val="Normalny"/>
    <w:link w:val="TekstprzypisukocowegoZnak"/>
    <w:uiPriority w:val="99"/>
    <w:semiHidden/>
    <w:unhideWhenUsed/>
    <w:rsid w:val="00276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6DB7"/>
    <w:rPr>
      <w:sz w:val="20"/>
      <w:szCs w:val="20"/>
    </w:rPr>
  </w:style>
  <w:style w:type="character" w:styleId="Odwoanieprzypisukocowego">
    <w:name w:val="endnote reference"/>
    <w:basedOn w:val="Domylnaczcionkaakapitu"/>
    <w:uiPriority w:val="99"/>
    <w:semiHidden/>
    <w:unhideWhenUsed/>
    <w:rsid w:val="00276DB7"/>
    <w:rPr>
      <w:vertAlign w:val="superscript"/>
    </w:rPr>
  </w:style>
  <w:style w:type="paragraph" w:styleId="Tekstprzypisudolnego">
    <w:name w:val="footnote text"/>
    <w:aliases w:val="Footnote,Podrozdział,Podrozdzia3"/>
    <w:basedOn w:val="Normalny"/>
    <w:link w:val="TekstprzypisudolnegoZnak"/>
    <w:uiPriority w:val="99"/>
    <w:unhideWhenUsed/>
    <w:rsid w:val="00F5430C"/>
    <w:pPr>
      <w:spacing w:after="0" w:line="240" w:lineRule="auto"/>
    </w:pPr>
    <w:rPr>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F5430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F5430C"/>
    <w:rPr>
      <w:vertAlign w:val="superscript"/>
    </w:rPr>
  </w:style>
  <w:style w:type="character" w:styleId="Hipercze">
    <w:name w:val="Hyperlink"/>
    <w:basedOn w:val="Domylnaczcionkaakapitu"/>
    <w:uiPriority w:val="99"/>
    <w:unhideWhenUsed/>
    <w:rsid w:val="00295E21"/>
    <w:rPr>
      <w:color w:val="0000FF" w:themeColor="hyperlink"/>
      <w:u w:val="single"/>
    </w:rPr>
  </w:style>
  <w:style w:type="paragraph" w:customStyle="1" w:styleId="Default">
    <w:name w:val="Default"/>
    <w:rsid w:val="00F55CD9"/>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1E620C"/>
    <w:rPr>
      <w:sz w:val="16"/>
      <w:szCs w:val="16"/>
    </w:rPr>
  </w:style>
  <w:style w:type="paragraph" w:styleId="Tekstkomentarza">
    <w:name w:val="annotation text"/>
    <w:basedOn w:val="Normalny"/>
    <w:link w:val="TekstkomentarzaZnak"/>
    <w:uiPriority w:val="99"/>
    <w:semiHidden/>
    <w:unhideWhenUsed/>
    <w:rsid w:val="001E62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20C"/>
    <w:rPr>
      <w:sz w:val="20"/>
      <w:szCs w:val="20"/>
    </w:rPr>
  </w:style>
  <w:style w:type="paragraph" w:styleId="Tematkomentarza">
    <w:name w:val="annotation subject"/>
    <w:basedOn w:val="Tekstkomentarza"/>
    <w:next w:val="Tekstkomentarza"/>
    <w:link w:val="TematkomentarzaZnak"/>
    <w:uiPriority w:val="99"/>
    <w:semiHidden/>
    <w:unhideWhenUsed/>
    <w:rsid w:val="001E620C"/>
    <w:rPr>
      <w:b/>
      <w:bCs/>
    </w:rPr>
  </w:style>
  <w:style w:type="character" w:customStyle="1" w:styleId="TematkomentarzaZnak">
    <w:name w:val="Temat komentarza Znak"/>
    <w:basedOn w:val="TekstkomentarzaZnak"/>
    <w:link w:val="Tematkomentarza"/>
    <w:uiPriority w:val="99"/>
    <w:semiHidden/>
    <w:rsid w:val="001E620C"/>
    <w:rPr>
      <w:b/>
      <w:bCs/>
      <w:sz w:val="20"/>
      <w:szCs w:val="20"/>
    </w:rPr>
  </w:style>
  <w:style w:type="character" w:styleId="Nierozpoznanawzmianka">
    <w:name w:val="Unresolved Mention"/>
    <w:basedOn w:val="Domylnaczcionkaakapitu"/>
    <w:uiPriority w:val="99"/>
    <w:semiHidden/>
    <w:unhideWhenUsed/>
    <w:rsid w:val="00382CCB"/>
    <w:rPr>
      <w:color w:val="605E5C"/>
      <w:shd w:val="clear" w:color="auto" w:fill="E1DFDD"/>
    </w:rPr>
  </w:style>
  <w:style w:type="character" w:customStyle="1" w:styleId="AkapitzlistZnak">
    <w:name w:val="Akapit z listą Znak"/>
    <w:aliases w:val="Akapit z listą BS Znak,Numerowanie Znak,List Paragraph Znak,Kolorowa lista — akcent 11 Znak"/>
    <w:link w:val="Akapitzlist"/>
    <w:uiPriority w:val="34"/>
    <w:rsid w:val="00AD2013"/>
  </w:style>
  <w:style w:type="paragraph" w:styleId="Poprawka">
    <w:name w:val="Revision"/>
    <w:hidden/>
    <w:uiPriority w:val="99"/>
    <w:semiHidden/>
    <w:rsid w:val="00C37F7B"/>
    <w:pPr>
      <w:spacing w:after="0" w:line="240" w:lineRule="auto"/>
    </w:pPr>
  </w:style>
  <w:style w:type="paragraph" w:styleId="NormalnyWeb">
    <w:name w:val="Normal (Web)"/>
    <w:basedOn w:val="Normalny"/>
    <w:uiPriority w:val="99"/>
    <w:unhideWhenUsed/>
    <w:rsid w:val="00AB32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1A3ED2"/>
  </w:style>
  <w:style w:type="character" w:customStyle="1" w:styleId="hgkelc">
    <w:name w:val="hgkelc"/>
    <w:basedOn w:val="Domylnaczcionkaakapitu"/>
    <w:rsid w:val="00D1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6742">
      <w:bodyDiv w:val="1"/>
      <w:marLeft w:val="0"/>
      <w:marRight w:val="0"/>
      <w:marTop w:val="0"/>
      <w:marBottom w:val="0"/>
      <w:divBdr>
        <w:top w:val="none" w:sz="0" w:space="0" w:color="auto"/>
        <w:left w:val="none" w:sz="0" w:space="0" w:color="auto"/>
        <w:bottom w:val="none" w:sz="0" w:space="0" w:color="auto"/>
        <w:right w:val="none" w:sz="0" w:space="0" w:color="auto"/>
      </w:divBdr>
    </w:div>
    <w:div w:id="682436227">
      <w:bodyDiv w:val="1"/>
      <w:marLeft w:val="0"/>
      <w:marRight w:val="0"/>
      <w:marTop w:val="0"/>
      <w:marBottom w:val="0"/>
      <w:divBdr>
        <w:top w:val="none" w:sz="0" w:space="0" w:color="auto"/>
        <w:left w:val="none" w:sz="0" w:space="0" w:color="auto"/>
        <w:bottom w:val="none" w:sz="0" w:space="0" w:color="auto"/>
        <w:right w:val="none" w:sz="0" w:space="0" w:color="auto"/>
      </w:divBdr>
    </w:div>
    <w:div w:id="746002944">
      <w:bodyDiv w:val="1"/>
      <w:marLeft w:val="0"/>
      <w:marRight w:val="0"/>
      <w:marTop w:val="0"/>
      <w:marBottom w:val="0"/>
      <w:divBdr>
        <w:top w:val="none" w:sz="0" w:space="0" w:color="auto"/>
        <w:left w:val="none" w:sz="0" w:space="0" w:color="auto"/>
        <w:bottom w:val="none" w:sz="0" w:space="0" w:color="auto"/>
        <w:right w:val="none" w:sz="0" w:space="0" w:color="auto"/>
      </w:divBdr>
    </w:div>
    <w:div w:id="1024359084">
      <w:bodyDiv w:val="1"/>
      <w:marLeft w:val="0"/>
      <w:marRight w:val="0"/>
      <w:marTop w:val="0"/>
      <w:marBottom w:val="0"/>
      <w:divBdr>
        <w:top w:val="none" w:sz="0" w:space="0" w:color="auto"/>
        <w:left w:val="none" w:sz="0" w:space="0" w:color="auto"/>
        <w:bottom w:val="none" w:sz="0" w:space="0" w:color="auto"/>
        <w:right w:val="none" w:sz="0" w:space="0" w:color="auto"/>
      </w:divBdr>
      <w:divsChild>
        <w:div w:id="1841844967">
          <w:marLeft w:val="0"/>
          <w:marRight w:val="0"/>
          <w:marTop w:val="0"/>
          <w:marBottom w:val="0"/>
          <w:divBdr>
            <w:top w:val="none" w:sz="0" w:space="0" w:color="auto"/>
            <w:left w:val="none" w:sz="0" w:space="0" w:color="auto"/>
            <w:bottom w:val="none" w:sz="0" w:space="0" w:color="auto"/>
            <w:right w:val="none" w:sz="0" w:space="0" w:color="auto"/>
          </w:divBdr>
        </w:div>
        <w:div w:id="111096212">
          <w:marLeft w:val="0"/>
          <w:marRight w:val="0"/>
          <w:marTop w:val="0"/>
          <w:marBottom w:val="0"/>
          <w:divBdr>
            <w:top w:val="none" w:sz="0" w:space="0" w:color="auto"/>
            <w:left w:val="none" w:sz="0" w:space="0" w:color="auto"/>
            <w:bottom w:val="none" w:sz="0" w:space="0" w:color="auto"/>
            <w:right w:val="none" w:sz="0" w:space="0" w:color="auto"/>
          </w:divBdr>
        </w:div>
        <w:div w:id="284242303">
          <w:marLeft w:val="0"/>
          <w:marRight w:val="0"/>
          <w:marTop w:val="0"/>
          <w:marBottom w:val="0"/>
          <w:divBdr>
            <w:top w:val="none" w:sz="0" w:space="0" w:color="auto"/>
            <w:left w:val="none" w:sz="0" w:space="0" w:color="auto"/>
            <w:bottom w:val="none" w:sz="0" w:space="0" w:color="auto"/>
            <w:right w:val="none" w:sz="0" w:space="0" w:color="auto"/>
          </w:divBdr>
        </w:div>
        <w:div w:id="1602299016">
          <w:marLeft w:val="0"/>
          <w:marRight w:val="0"/>
          <w:marTop w:val="0"/>
          <w:marBottom w:val="0"/>
          <w:divBdr>
            <w:top w:val="none" w:sz="0" w:space="0" w:color="auto"/>
            <w:left w:val="none" w:sz="0" w:space="0" w:color="auto"/>
            <w:bottom w:val="none" w:sz="0" w:space="0" w:color="auto"/>
            <w:right w:val="none" w:sz="0" w:space="0" w:color="auto"/>
          </w:divBdr>
        </w:div>
        <w:div w:id="22873974">
          <w:marLeft w:val="0"/>
          <w:marRight w:val="0"/>
          <w:marTop w:val="0"/>
          <w:marBottom w:val="0"/>
          <w:divBdr>
            <w:top w:val="none" w:sz="0" w:space="0" w:color="auto"/>
            <w:left w:val="none" w:sz="0" w:space="0" w:color="auto"/>
            <w:bottom w:val="none" w:sz="0" w:space="0" w:color="auto"/>
            <w:right w:val="none" w:sz="0" w:space="0" w:color="auto"/>
          </w:divBdr>
        </w:div>
        <w:div w:id="1222523987">
          <w:marLeft w:val="0"/>
          <w:marRight w:val="0"/>
          <w:marTop w:val="0"/>
          <w:marBottom w:val="0"/>
          <w:divBdr>
            <w:top w:val="none" w:sz="0" w:space="0" w:color="auto"/>
            <w:left w:val="none" w:sz="0" w:space="0" w:color="auto"/>
            <w:bottom w:val="none" w:sz="0" w:space="0" w:color="auto"/>
            <w:right w:val="none" w:sz="0" w:space="0" w:color="auto"/>
          </w:divBdr>
        </w:div>
        <w:div w:id="1453786311">
          <w:marLeft w:val="0"/>
          <w:marRight w:val="0"/>
          <w:marTop w:val="0"/>
          <w:marBottom w:val="0"/>
          <w:divBdr>
            <w:top w:val="none" w:sz="0" w:space="0" w:color="auto"/>
            <w:left w:val="none" w:sz="0" w:space="0" w:color="auto"/>
            <w:bottom w:val="none" w:sz="0" w:space="0" w:color="auto"/>
            <w:right w:val="none" w:sz="0" w:space="0" w:color="auto"/>
          </w:divBdr>
        </w:div>
        <w:div w:id="1431004397">
          <w:marLeft w:val="0"/>
          <w:marRight w:val="0"/>
          <w:marTop w:val="0"/>
          <w:marBottom w:val="0"/>
          <w:divBdr>
            <w:top w:val="none" w:sz="0" w:space="0" w:color="auto"/>
            <w:left w:val="none" w:sz="0" w:space="0" w:color="auto"/>
            <w:bottom w:val="none" w:sz="0" w:space="0" w:color="auto"/>
            <w:right w:val="none" w:sz="0" w:space="0" w:color="auto"/>
          </w:divBdr>
        </w:div>
        <w:div w:id="87194089">
          <w:marLeft w:val="0"/>
          <w:marRight w:val="0"/>
          <w:marTop w:val="0"/>
          <w:marBottom w:val="0"/>
          <w:divBdr>
            <w:top w:val="none" w:sz="0" w:space="0" w:color="auto"/>
            <w:left w:val="none" w:sz="0" w:space="0" w:color="auto"/>
            <w:bottom w:val="none" w:sz="0" w:space="0" w:color="auto"/>
            <w:right w:val="none" w:sz="0" w:space="0" w:color="auto"/>
          </w:divBdr>
        </w:div>
        <w:div w:id="350761492">
          <w:marLeft w:val="0"/>
          <w:marRight w:val="0"/>
          <w:marTop w:val="0"/>
          <w:marBottom w:val="0"/>
          <w:divBdr>
            <w:top w:val="none" w:sz="0" w:space="0" w:color="auto"/>
            <w:left w:val="none" w:sz="0" w:space="0" w:color="auto"/>
            <w:bottom w:val="none" w:sz="0" w:space="0" w:color="auto"/>
            <w:right w:val="none" w:sz="0" w:space="0" w:color="auto"/>
          </w:divBdr>
        </w:div>
        <w:div w:id="1240365469">
          <w:marLeft w:val="0"/>
          <w:marRight w:val="0"/>
          <w:marTop w:val="0"/>
          <w:marBottom w:val="0"/>
          <w:divBdr>
            <w:top w:val="none" w:sz="0" w:space="0" w:color="auto"/>
            <w:left w:val="none" w:sz="0" w:space="0" w:color="auto"/>
            <w:bottom w:val="none" w:sz="0" w:space="0" w:color="auto"/>
            <w:right w:val="none" w:sz="0" w:space="0" w:color="auto"/>
          </w:divBdr>
        </w:div>
        <w:div w:id="621158312">
          <w:marLeft w:val="0"/>
          <w:marRight w:val="0"/>
          <w:marTop w:val="0"/>
          <w:marBottom w:val="0"/>
          <w:divBdr>
            <w:top w:val="none" w:sz="0" w:space="0" w:color="auto"/>
            <w:left w:val="none" w:sz="0" w:space="0" w:color="auto"/>
            <w:bottom w:val="none" w:sz="0" w:space="0" w:color="auto"/>
            <w:right w:val="none" w:sz="0" w:space="0" w:color="auto"/>
          </w:divBdr>
        </w:div>
        <w:div w:id="245654875">
          <w:marLeft w:val="0"/>
          <w:marRight w:val="0"/>
          <w:marTop w:val="0"/>
          <w:marBottom w:val="0"/>
          <w:divBdr>
            <w:top w:val="none" w:sz="0" w:space="0" w:color="auto"/>
            <w:left w:val="none" w:sz="0" w:space="0" w:color="auto"/>
            <w:bottom w:val="none" w:sz="0" w:space="0" w:color="auto"/>
            <w:right w:val="none" w:sz="0" w:space="0" w:color="auto"/>
          </w:divBdr>
        </w:div>
        <w:div w:id="2111001864">
          <w:marLeft w:val="0"/>
          <w:marRight w:val="0"/>
          <w:marTop w:val="0"/>
          <w:marBottom w:val="0"/>
          <w:divBdr>
            <w:top w:val="none" w:sz="0" w:space="0" w:color="auto"/>
            <w:left w:val="none" w:sz="0" w:space="0" w:color="auto"/>
            <w:bottom w:val="none" w:sz="0" w:space="0" w:color="auto"/>
            <w:right w:val="none" w:sz="0" w:space="0" w:color="auto"/>
          </w:divBdr>
        </w:div>
        <w:div w:id="722944517">
          <w:marLeft w:val="0"/>
          <w:marRight w:val="0"/>
          <w:marTop w:val="0"/>
          <w:marBottom w:val="0"/>
          <w:divBdr>
            <w:top w:val="none" w:sz="0" w:space="0" w:color="auto"/>
            <w:left w:val="none" w:sz="0" w:space="0" w:color="auto"/>
            <w:bottom w:val="none" w:sz="0" w:space="0" w:color="auto"/>
            <w:right w:val="none" w:sz="0" w:space="0" w:color="auto"/>
          </w:divBdr>
        </w:div>
        <w:div w:id="1665627499">
          <w:marLeft w:val="0"/>
          <w:marRight w:val="0"/>
          <w:marTop w:val="0"/>
          <w:marBottom w:val="0"/>
          <w:divBdr>
            <w:top w:val="none" w:sz="0" w:space="0" w:color="auto"/>
            <w:left w:val="none" w:sz="0" w:space="0" w:color="auto"/>
            <w:bottom w:val="none" w:sz="0" w:space="0" w:color="auto"/>
            <w:right w:val="none" w:sz="0" w:space="0" w:color="auto"/>
          </w:divBdr>
        </w:div>
        <w:div w:id="816264120">
          <w:marLeft w:val="0"/>
          <w:marRight w:val="0"/>
          <w:marTop w:val="0"/>
          <w:marBottom w:val="0"/>
          <w:divBdr>
            <w:top w:val="none" w:sz="0" w:space="0" w:color="auto"/>
            <w:left w:val="none" w:sz="0" w:space="0" w:color="auto"/>
            <w:bottom w:val="none" w:sz="0" w:space="0" w:color="auto"/>
            <w:right w:val="none" w:sz="0" w:space="0" w:color="auto"/>
          </w:divBdr>
        </w:div>
        <w:div w:id="513881777">
          <w:marLeft w:val="0"/>
          <w:marRight w:val="0"/>
          <w:marTop w:val="0"/>
          <w:marBottom w:val="0"/>
          <w:divBdr>
            <w:top w:val="none" w:sz="0" w:space="0" w:color="auto"/>
            <w:left w:val="none" w:sz="0" w:space="0" w:color="auto"/>
            <w:bottom w:val="none" w:sz="0" w:space="0" w:color="auto"/>
            <w:right w:val="none" w:sz="0" w:space="0" w:color="auto"/>
          </w:divBdr>
        </w:div>
        <w:div w:id="715010560">
          <w:marLeft w:val="0"/>
          <w:marRight w:val="0"/>
          <w:marTop w:val="0"/>
          <w:marBottom w:val="0"/>
          <w:divBdr>
            <w:top w:val="none" w:sz="0" w:space="0" w:color="auto"/>
            <w:left w:val="none" w:sz="0" w:space="0" w:color="auto"/>
            <w:bottom w:val="none" w:sz="0" w:space="0" w:color="auto"/>
            <w:right w:val="none" w:sz="0" w:space="0" w:color="auto"/>
          </w:divBdr>
        </w:div>
      </w:divsChild>
    </w:div>
    <w:div w:id="1128667132">
      <w:bodyDiv w:val="1"/>
      <w:marLeft w:val="0"/>
      <w:marRight w:val="0"/>
      <w:marTop w:val="0"/>
      <w:marBottom w:val="0"/>
      <w:divBdr>
        <w:top w:val="none" w:sz="0" w:space="0" w:color="auto"/>
        <w:left w:val="none" w:sz="0" w:space="0" w:color="auto"/>
        <w:bottom w:val="none" w:sz="0" w:space="0" w:color="auto"/>
        <w:right w:val="none" w:sz="0" w:space="0" w:color="auto"/>
      </w:divBdr>
    </w:div>
    <w:div w:id="20174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9473-7074-470E-9F8E-5EF3DF52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7</Pages>
  <Words>2439</Words>
  <Characters>14637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Dziemidow</dc:creator>
  <cp:lastModifiedBy>Elwira Misiewicz</cp:lastModifiedBy>
  <cp:revision>76</cp:revision>
  <cp:lastPrinted>2024-01-24T09:01:00Z</cp:lastPrinted>
  <dcterms:created xsi:type="dcterms:W3CDTF">2023-07-18T09:43:00Z</dcterms:created>
  <dcterms:modified xsi:type="dcterms:W3CDTF">2024-02-12T12:34:00Z</dcterms:modified>
</cp:coreProperties>
</file>