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3876" w14:textId="77777777" w:rsidR="005D0504" w:rsidRPr="00895110" w:rsidRDefault="005D0504" w:rsidP="00895110">
      <w:pPr>
        <w:spacing w:after="0" w:line="276" w:lineRule="auto"/>
        <w:jc w:val="center"/>
        <w:rPr>
          <w:b/>
          <w:bCs/>
          <w:sz w:val="24"/>
          <w:szCs w:val="24"/>
          <w:u w:val="double"/>
        </w:rPr>
      </w:pPr>
      <w:r w:rsidRPr="00895110">
        <w:rPr>
          <w:b/>
          <w:bCs/>
          <w:sz w:val="24"/>
          <w:szCs w:val="24"/>
          <w:u w:val="double"/>
        </w:rPr>
        <w:t>Oświadczenie o powierzeniu pracy cudzoziemcowi</w:t>
      </w:r>
    </w:p>
    <w:p w14:paraId="47F86112" w14:textId="77777777" w:rsidR="005D0504" w:rsidRPr="00895110" w:rsidRDefault="005D0504" w:rsidP="00895110">
      <w:pPr>
        <w:spacing w:after="0" w:line="276" w:lineRule="auto"/>
        <w:jc w:val="center"/>
        <w:rPr>
          <w:sz w:val="24"/>
          <w:szCs w:val="24"/>
        </w:rPr>
      </w:pPr>
    </w:p>
    <w:p w14:paraId="325C5F09" w14:textId="37D59A97" w:rsidR="005D0504" w:rsidRPr="00895110" w:rsidRDefault="005D0504" w:rsidP="00895110">
      <w:pPr>
        <w:pStyle w:val="Akapitzlist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 xml:space="preserve">Polski podmiot powierzający pracę cudzoziemcowi składa za pomocą systemu teleinformatycznego, o którym mowa w </w:t>
      </w:r>
      <w:hyperlink r:id="rId5" w:anchor="/document/22143772?unitId=art(26)ust(1)pkt(7)lit(b)" w:history="1">
        <w:r w:rsidRPr="00895110">
          <w:rPr>
            <w:rStyle w:val="Hipercze"/>
            <w:rFonts w:cstheme="minorHAnsi"/>
            <w:sz w:val="24"/>
            <w:szCs w:val="24"/>
          </w:rPr>
          <w:t>art. 26 ust. 1 pkt 7 lit. b</w:t>
        </w:r>
      </w:hyperlink>
      <w:r w:rsidRPr="00895110">
        <w:rPr>
          <w:rFonts w:cstheme="minorHAnsi"/>
          <w:sz w:val="24"/>
          <w:szCs w:val="24"/>
        </w:rPr>
        <w:t xml:space="preserve"> ustawy z dnia 20 marca 2025 r. o rynku pracy i służbach zatrudnienia, oświadczenie o powierzeniu pracy cudzoziemcowi, jeżeli:</w:t>
      </w:r>
    </w:p>
    <w:p w14:paraId="27C5C9BC" w14:textId="197FE309" w:rsidR="005D0504" w:rsidRPr="00895110" w:rsidRDefault="005D0504" w:rsidP="0089511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cudzoziemiec jest obywatelem państwa określonego w przepisach wydanych na podstawie art. 3 ust. 8 pkt 1 (Republiki Armenii, Republiki Białorusi, Republiki Gruzji, Republiki Mołdawii i Ukrainy Republiki Armenii, Republiki Białorusi, Republiki Gruzji, Republiki Mołdawii i Ukrainy) oraz</w:t>
      </w:r>
    </w:p>
    <w:p w14:paraId="43E98DC7" w14:textId="3E160BE5" w:rsidR="005D0504" w:rsidRPr="00895110" w:rsidRDefault="005D0504" w:rsidP="0089511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cudzoziemiec będzie wykonywał pracę na terytorium Rzeczypospolitej Polskiej oraz</w:t>
      </w:r>
    </w:p>
    <w:p w14:paraId="42E92BA2" w14:textId="11A223CA" w:rsidR="005D0504" w:rsidRPr="00895110" w:rsidRDefault="005D0504" w:rsidP="0089511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cudzoziemiec będzie wykonywał pracę poza zakresem działalności określonych w przepisach wydanych na podstawie art. 45 ust. 2</w:t>
      </w:r>
      <w:r w:rsidR="000E5433" w:rsidRPr="00895110">
        <w:rPr>
          <w:rFonts w:cstheme="minorHAnsi"/>
          <w:sz w:val="24"/>
          <w:szCs w:val="24"/>
        </w:rPr>
        <w:t xml:space="preserve"> (zezwolenie na pracę sezonową)</w:t>
      </w:r>
      <w:r w:rsidRPr="00895110">
        <w:rPr>
          <w:rFonts w:cstheme="minorHAnsi"/>
          <w:sz w:val="24"/>
          <w:szCs w:val="24"/>
        </w:rPr>
        <w:t xml:space="preserve"> oraz</w:t>
      </w:r>
    </w:p>
    <w:p w14:paraId="3E666D44" w14:textId="45CF4F4F" w:rsidR="005D0504" w:rsidRPr="00895110" w:rsidRDefault="005D0504" w:rsidP="0089511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powierzenie pracy cudzoziemcowi nie będzie dotyczyło przypadków, o których mowa w art. 2 pkt 9 lit. c-e</w:t>
      </w:r>
      <w:r w:rsidR="000E5433" w:rsidRPr="00895110">
        <w:rPr>
          <w:rFonts w:cstheme="minorHAnsi"/>
          <w:sz w:val="24"/>
          <w:szCs w:val="24"/>
        </w:rPr>
        <w:t xml:space="preserve"> (pełnienia funkcji w zarządach osób prawnych wpisanych do rejestru przedsiębiorców Krajowego Rejestru Sądowego, zwanego dalej "rejestrem przedsiębiorców KRS", lub spółek kapitałowych w organizacji, jeżeli cudzoziemiec przebywa na terytorium Rzeczypospolitej Polskiej, lub reprezentacji lub prowadzenia spraw spółki komandytowej lub komandytowo-akcyjnej wpisanej do rejestru przedsiębiorców KRS, jeżeli cudzoziemiec przebywa na terytorium Rzeczypospolitej Polskiej, lub pełnienia funkcji prokurenta przedsiębiorcy wpisanego do rejestru przedsiębiorców KRS, jeżeli cudzoziemiec przebywa na terytorium Rzeczypospolitej Polskiej) </w:t>
      </w:r>
      <w:r w:rsidRPr="00895110">
        <w:rPr>
          <w:rFonts w:cstheme="minorHAnsi"/>
          <w:sz w:val="24"/>
          <w:szCs w:val="24"/>
        </w:rPr>
        <w:t>oraz</w:t>
      </w:r>
    </w:p>
    <w:p w14:paraId="4B96778D" w14:textId="1F9093ED" w:rsidR="005D0504" w:rsidRPr="00895110" w:rsidRDefault="005D0504" w:rsidP="0089511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okres wykonywania pracy określony w oświadczeniu o powierzeniu pracy cudzoziemcowi nie będzie dłuższy niż 24 miesiące oraz</w:t>
      </w:r>
    </w:p>
    <w:p w14:paraId="391DDBB1" w14:textId="3A20E0B1" w:rsidR="005D0504" w:rsidRPr="00895110" w:rsidRDefault="005D0504" w:rsidP="0089511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dzień rozpoczęcia pracy wskazany w złożonym oświadczeniu o powierzeniu pracy cudzoziemcowi nastąpi nie później niż 6 miesięcy od dnia złożenia tego oświadczenia.</w:t>
      </w:r>
    </w:p>
    <w:p w14:paraId="1994C02F" w14:textId="2F9D321A" w:rsidR="005D0504" w:rsidRPr="00895110" w:rsidRDefault="005D0504" w:rsidP="00895110">
      <w:pPr>
        <w:pStyle w:val="Akapitzlist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Oświadczenie o powierzeniu pracy cudzoziemcowi niespełniające warunków określonych w ust. 1 pozostawia się bez rozpoznania</w:t>
      </w:r>
      <w:r w:rsidR="000E5433" w:rsidRPr="00895110">
        <w:rPr>
          <w:rFonts w:cstheme="minorHAnsi"/>
          <w:sz w:val="24"/>
          <w:szCs w:val="24"/>
        </w:rPr>
        <w:t>.</w:t>
      </w:r>
    </w:p>
    <w:p w14:paraId="48EC224C" w14:textId="135BFAD7" w:rsidR="000E5433" w:rsidRPr="00895110" w:rsidRDefault="000E5433" w:rsidP="00895110">
      <w:pPr>
        <w:pStyle w:val="Akapitzlist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4"/>
          <w:szCs w:val="24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Wpis oświadczenia o powierzeniu pracy cudzoziemcowi do ewidencji oświadczeń dokonuje Starosta właściwy </w:t>
      </w:r>
      <w:r w:rsidRPr="0089511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ze względu na siedzibę lub miejsce pobytu stałego polskiego podmiotu powierzającego pracę cudzoziemcowi.</w:t>
      </w:r>
    </w:p>
    <w:p w14:paraId="2FEBDC2B" w14:textId="77777777" w:rsidR="00E0090A" w:rsidRPr="00895110" w:rsidRDefault="00E0090A" w:rsidP="00895110">
      <w:pPr>
        <w:pStyle w:val="Akapitzlist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 xml:space="preserve">Starosta może określić późniejszy dzień rozpoczęcia pracy nie wcześniejszy niż dzień następujący po dniu wpisania oświadczenia do ewidencji oświadczeń. </w:t>
      </w:r>
    </w:p>
    <w:p w14:paraId="47EBBA1C" w14:textId="3F5E622D" w:rsidR="000E5433" w:rsidRPr="00895110" w:rsidRDefault="00E0090A" w:rsidP="00895110">
      <w:pPr>
        <w:pStyle w:val="Akapitzlist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 xml:space="preserve">Termin wydania </w:t>
      </w:r>
      <w:r w:rsidR="00813E14" w:rsidRPr="00895110">
        <w:rPr>
          <w:rFonts w:cstheme="minorHAnsi"/>
          <w:sz w:val="24"/>
          <w:szCs w:val="24"/>
        </w:rPr>
        <w:t xml:space="preserve"> oświadczenia</w:t>
      </w:r>
      <w:r w:rsidR="00EF357A" w:rsidRPr="00895110">
        <w:rPr>
          <w:rFonts w:cstheme="minorHAnsi"/>
          <w:sz w:val="24"/>
          <w:szCs w:val="24"/>
        </w:rPr>
        <w:t xml:space="preserve"> to </w:t>
      </w:r>
      <w:r w:rsidRPr="00895110">
        <w:rPr>
          <w:rFonts w:cstheme="minorHAnsi"/>
          <w:sz w:val="24"/>
          <w:szCs w:val="24"/>
        </w:rPr>
        <w:t>7 dni roboczych od dnia otrzymania oświadczenia, a w sprawach wymagających postępowania wyjaśniającego – nie później niż w terminie 30 dni od dnia otrzymania oświadczenia.</w:t>
      </w:r>
    </w:p>
    <w:p w14:paraId="7A149120" w14:textId="77777777" w:rsidR="000E5433" w:rsidRPr="00895110" w:rsidRDefault="000E5433" w:rsidP="00895110">
      <w:pPr>
        <w:spacing w:after="0" w:line="276" w:lineRule="auto"/>
        <w:ind w:left="284" w:hanging="568"/>
        <w:rPr>
          <w:rFonts w:cstheme="minorHAnsi"/>
          <w:sz w:val="24"/>
          <w:szCs w:val="24"/>
          <w:u w:val="single"/>
        </w:rPr>
      </w:pPr>
      <w:r w:rsidRPr="00895110">
        <w:rPr>
          <w:rFonts w:cstheme="minorHAnsi"/>
          <w:sz w:val="24"/>
          <w:szCs w:val="24"/>
          <w:u w:val="single"/>
        </w:rPr>
        <w:t> Do oświadczenia o powierzeniu pracy cudzoziemcowi dołącza się:</w:t>
      </w:r>
    </w:p>
    <w:p w14:paraId="4CB8F19B" w14:textId="6613C97D" w:rsidR="000E5433" w:rsidRPr="00895110" w:rsidRDefault="000E5433" w:rsidP="00895110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oświadczenie podmiotu powierzającego pracę cudzoziemcowi, czy zachodzą okoliczności, o których mowa w art. 13 ust. 1 pkt 1 lit. c-g ustawy, zgodne ze stanem faktycznym w dniu złożenia oświadczenia o powierzeniu pracy cudzoziemcowi (oświadczenie o niekaralności);</w:t>
      </w:r>
    </w:p>
    <w:p w14:paraId="6B58D42C" w14:textId="2B842932" w:rsidR="000E5433" w:rsidRPr="00895110" w:rsidRDefault="00973D92" w:rsidP="00895110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 xml:space="preserve">dokument </w:t>
      </w:r>
      <w:r w:rsidR="000E5433" w:rsidRPr="00895110">
        <w:rPr>
          <w:rFonts w:cstheme="minorHAnsi"/>
          <w:sz w:val="24"/>
          <w:szCs w:val="24"/>
        </w:rPr>
        <w:t>potwierdzając</w:t>
      </w:r>
      <w:r w:rsidRPr="00895110">
        <w:rPr>
          <w:rFonts w:cstheme="minorHAnsi"/>
          <w:sz w:val="24"/>
          <w:szCs w:val="24"/>
        </w:rPr>
        <w:t>y</w:t>
      </w:r>
      <w:r w:rsidR="000E5433" w:rsidRPr="00895110">
        <w:rPr>
          <w:rFonts w:cstheme="minorHAnsi"/>
          <w:sz w:val="24"/>
          <w:szCs w:val="24"/>
        </w:rPr>
        <w:t xml:space="preserve"> dokonanie opłaty</w:t>
      </w:r>
      <w:r w:rsidRPr="00895110">
        <w:rPr>
          <w:rFonts w:cstheme="minorHAnsi"/>
          <w:sz w:val="24"/>
          <w:szCs w:val="24"/>
        </w:rPr>
        <w:t xml:space="preserve"> w kwocie 100 zł</w:t>
      </w:r>
    </w:p>
    <w:p w14:paraId="106D3BBF" w14:textId="16919641" w:rsidR="00EF357A" w:rsidRPr="00895110" w:rsidRDefault="00EF357A" w:rsidP="00895110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95110">
        <w:rPr>
          <w:rFonts w:cstheme="minorHAnsi"/>
          <w:sz w:val="24"/>
          <w:szCs w:val="24"/>
        </w:rPr>
        <w:t>kopię pierwszej strony paszportu cudzoziemca</w:t>
      </w:r>
    </w:p>
    <w:p w14:paraId="19583200" w14:textId="3B6273B2" w:rsidR="00EF357A" w:rsidRPr="00895110" w:rsidRDefault="00EF357A" w:rsidP="00895110">
      <w:pPr>
        <w:spacing w:after="0" w:line="276" w:lineRule="auto"/>
        <w:ind w:left="-284"/>
        <w:rPr>
          <w:rFonts w:cstheme="minorHAnsi"/>
          <w:sz w:val="24"/>
          <w:szCs w:val="24"/>
          <w:u w:val="single"/>
        </w:rPr>
      </w:pPr>
      <w:r w:rsidRPr="00895110">
        <w:rPr>
          <w:rFonts w:cstheme="minorHAnsi"/>
          <w:sz w:val="24"/>
          <w:szCs w:val="24"/>
          <w:u w:val="single"/>
        </w:rPr>
        <w:lastRenderedPageBreak/>
        <w:t>Odmowa dokonania wpisu oświadczenia o powierzeniu wykonywania pracy cudzoziemcowi do ewidencji oświadczeń następuje, jeżeli:</w:t>
      </w:r>
    </w:p>
    <w:p w14:paraId="16E09746" w14:textId="049F4BE1" w:rsidR="00EF357A" w:rsidRPr="00895110" w:rsidRDefault="00EF357A" w:rsidP="0089511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wysokość wynagrodzenia cudzoziemca będzie niższa niż:</w:t>
      </w:r>
    </w:p>
    <w:p w14:paraId="6C6DE0FE" w14:textId="77777777" w:rsidR="00EF357A" w:rsidRPr="00895110" w:rsidRDefault="00EF357A" w:rsidP="00895110">
      <w:pPr>
        <w:pStyle w:val="Akapitzlist"/>
        <w:numPr>
          <w:ilvl w:val="0"/>
          <w:numId w:val="7"/>
        </w:numPr>
        <w:spacing w:after="0" w:line="276" w:lineRule="auto"/>
        <w:ind w:left="709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wysokość wynagrodzenia pracowników wykonujących pracę porównywalnego rodzaju lub na porównywalnym stanowisku oraz</w:t>
      </w:r>
    </w:p>
    <w:p w14:paraId="78911C75" w14:textId="2C419E97" w:rsidR="00EF357A" w:rsidRPr="00895110" w:rsidRDefault="00EF357A" w:rsidP="00895110">
      <w:pPr>
        <w:pStyle w:val="Akapitzlist"/>
        <w:numPr>
          <w:ilvl w:val="0"/>
          <w:numId w:val="7"/>
        </w:numPr>
        <w:spacing w:after="0" w:line="276" w:lineRule="auto"/>
        <w:ind w:left="709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wysokość minimalnego wynagrodzenia za pracę, o którym mowa w przepisach o minimalnym wynagrodzeniu za pracę, lub</w:t>
      </w:r>
    </w:p>
    <w:p w14:paraId="2A1C1755" w14:textId="4A6D2EAE" w:rsidR="00EF357A" w:rsidRPr="00895110" w:rsidRDefault="00EF357A" w:rsidP="0089511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oświadczenie o powierzeniu pracy cudzoziemcowi zawiera nieprawdziwe dane osobowe lub fałszywe informacje lub polski podmiot powierzający pracę cudzoziemcowi dołączył do tego oświadczenia dokumenty zawierające takie dane, lub</w:t>
      </w:r>
    </w:p>
    <w:p w14:paraId="324019DE" w14:textId="305CF5F0" w:rsidR="00EF357A" w:rsidRPr="00895110" w:rsidRDefault="00EF357A" w:rsidP="0089511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zachodzą okoliczności, o których mowa w art. 13 ust. 1 pkt 1 lit. c-n, pkt 2 lub 4-11,</w:t>
      </w: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</w:t>
      </w:r>
    </w:p>
    <w:p w14:paraId="3E42F4EE" w14:textId="196726CD" w:rsidR="00EF357A" w:rsidRPr="00895110" w:rsidRDefault="00EF357A" w:rsidP="0089511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 fizyczna będąca polskim podmiotem powierzającym pracę cudzoziemcowi albo działająca w imieniu podmiotu powierzającego pracę cudzoziemcowi została co najmniej dwukrotnie prawomocnie ukarana za wykroczenie, o którym mowa w art. 84 ust. 10, w okresie 12 miesięcy poprzedzających datę złożenia oświadczenia o powierzeniu pracy cudzoziemcowi, lub</w:t>
      </w:r>
    </w:p>
    <w:p w14:paraId="0D98518B" w14:textId="5135140E" w:rsidR="00EF357A" w:rsidRPr="00895110" w:rsidRDefault="00EF357A" w:rsidP="00895110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danym roku kalendarzowym nastąpiło przekroczenie obowiązującego limitu oświadczeń o powierzeniu pracy cudzoziemcowi, o którym mowa w ust. 2.</w:t>
      </w:r>
    </w:p>
    <w:p w14:paraId="6F93A210" w14:textId="77777777" w:rsidR="00EF357A" w:rsidRPr="00895110" w:rsidRDefault="00EF357A" w:rsidP="00895110">
      <w:pPr>
        <w:spacing w:after="0" w:line="276" w:lineRule="auto"/>
        <w:ind w:left="360"/>
        <w:rPr>
          <w:rFonts w:cstheme="minorHAnsi"/>
          <w:sz w:val="24"/>
          <w:szCs w:val="24"/>
          <w:u w:val="single"/>
        </w:rPr>
      </w:pPr>
    </w:p>
    <w:p w14:paraId="330C888A" w14:textId="0DDD8ED6" w:rsidR="00895110" w:rsidRPr="00895110" w:rsidRDefault="00895110" w:rsidP="00895110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O</w:t>
      </w:r>
      <w:r w:rsidRPr="0089511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bowiązki podmiotu po wpisaniu oświadczenia o powierzeniu pracy</w:t>
      </w:r>
      <w:r w:rsidRPr="0089511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9511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cudzoziemcowi:</w:t>
      </w:r>
    </w:p>
    <w:p w14:paraId="02DEEDF4" w14:textId="77777777" w:rsidR="00895110" w:rsidRPr="00895110" w:rsidRDefault="00895110" w:rsidP="00895110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D5B589F" w14:textId="77777777" w:rsidR="00895110" w:rsidRPr="00895110" w:rsidRDefault="00895110" w:rsidP="00895110">
      <w:pPr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Terminy na składanie powiadomień o:</w:t>
      </w:r>
    </w:p>
    <w:p w14:paraId="7463A154" w14:textId="77777777" w:rsidR="00895110" w:rsidRPr="00895110" w:rsidRDefault="00895110" w:rsidP="00895110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podjęciu pracy przez cudzoziemca - 7 dni od rozpoczęcia pracy wskazanej w oświadczeniu;</w:t>
      </w:r>
    </w:p>
    <w:p w14:paraId="2D3114FE" w14:textId="77777777" w:rsidR="00895110" w:rsidRPr="00895110" w:rsidRDefault="00895110" w:rsidP="00895110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niepodjęciu pracy przez cudzoziemca - 14 dni od daty rozpoczęcia pracy wskazanej w oświadczeniu; </w:t>
      </w:r>
    </w:p>
    <w:p w14:paraId="2DE0E87C" w14:textId="528BB221" w:rsidR="00895110" w:rsidRPr="00895110" w:rsidRDefault="00895110" w:rsidP="00895110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Obowiązek informowania o wcześniejszym zakończeniu pracy przez cudzoziemca we wpisanym oświadczeniu.</w:t>
      </w:r>
    </w:p>
    <w:p w14:paraId="4802BD30" w14:textId="76BD61B8" w:rsidR="00895110" w:rsidRPr="00895110" w:rsidRDefault="00895110" w:rsidP="00895110">
      <w:pPr>
        <w:numPr>
          <w:ilvl w:val="1"/>
          <w:numId w:val="9"/>
        </w:numPr>
        <w:spacing w:after="0" w:line="276" w:lineRule="auto"/>
        <w:ind w:left="709" w:hanging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u w:val="double"/>
          <w:lang w:eastAsia="pl-PL"/>
          <w14:ligatures w14:val="none"/>
        </w:rPr>
        <w:t>Uwaga:</w:t>
      </w: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zgłoszenie powiadomienia że cudzoziemiec, którego oświadczenie o powierzeniu pracy zostało wpisane do ewidencji oświadczeń nie podejmie pracy lub zakończył pracę przed dniem zakończenia pracy określonym w tym oświadczeniu ulega unieważnieniu oświadczenia z mocy prawa.</w:t>
      </w:r>
    </w:p>
    <w:p w14:paraId="2C20C7C2" w14:textId="77777777" w:rsidR="00895110" w:rsidRPr="00895110" w:rsidRDefault="00895110" w:rsidP="00895110">
      <w:pPr>
        <w:numPr>
          <w:ilvl w:val="0"/>
          <w:numId w:val="9"/>
        </w:numPr>
        <w:tabs>
          <w:tab w:val="clear" w:pos="720"/>
          <w:tab w:val="num" w:pos="567"/>
        </w:tabs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951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Dostarczenie do urzędu pracy kopii zawartej umowy z cudzoziemcem w języku polskim, przed powierzeniem pracy cudzoziemcowi</w:t>
      </w:r>
    </w:p>
    <w:p w14:paraId="176236A4" w14:textId="77777777" w:rsidR="00895110" w:rsidRPr="00895110" w:rsidRDefault="00895110" w:rsidP="00895110">
      <w:pPr>
        <w:spacing w:after="0" w:line="276" w:lineRule="auto"/>
        <w:rPr>
          <w:sz w:val="24"/>
          <w:szCs w:val="24"/>
          <w:u w:val="single"/>
        </w:rPr>
      </w:pPr>
    </w:p>
    <w:p w14:paraId="275EE8D6" w14:textId="77777777" w:rsidR="00895110" w:rsidRPr="00895110" w:rsidRDefault="00895110" w:rsidP="00895110">
      <w:pPr>
        <w:spacing w:after="0" w:line="276" w:lineRule="auto"/>
        <w:rPr>
          <w:sz w:val="24"/>
          <w:szCs w:val="24"/>
          <w:u w:val="single"/>
        </w:rPr>
      </w:pPr>
      <w:r w:rsidRPr="00895110">
        <w:rPr>
          <w:sz w:val="24"/>
          <w:szCs w:val="24"/>
          <w:u w:val="single"/>
        </w:rPr>
        <w:t>Wpis nowego oświadczenia o powierzeniu pracy cudzoziemcowi do ewidencji oświadczeń nie jest wymagany, jeżeli:</w:t>
      </w:r>
    </w:p>
    <w:p w14:paraId="351FC7EF" w14:textId="77777777" w:rsidR="00895110" w:rsidRPr="00895110" w:rsidRDefault="00895110" w:rsidP="00895110">
      <w:pPr>
        <w:spacing w:after="0" w:line="276" w:lineRule="auto"/>
        <w:rPr>
          <w:sz w:val="24"/>
          <w:szCs w:val="24"/>
          <w:u w:val="single"/>
        </w:rPr>
      </w:pPr>
    </w:p>
    <w:p w14:paraId="568D1C2D" w14:textId="77777777" w:rsidR="00895110" w:rsidRPr="00895110" w:rsidRDefault="00895110" w:rsidP="00895110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sz w:val="24"/>
          <w:szCs w:val="24"/>
          <w:u w:val="single"/>
        </w:rPr>
      </w:pPr>
      <w:r w:rsidRPr="00895110">
        <w:rPr>
          <w:sz w:val="24"/>
          <w:szCs w:val="24"/>
        </w:rPr>
        <w:t>nastąpiła zmiana siedziby, miejsca stałego pobytu, stałego miejsca prowadzenia działalności gospodarczej, nazwy lub formy prawnej polskiego podmiotu powierzającego pracę cudzoziemcowi lub pracodawcy użytkownika;</w:t>
      </w:r>
    </w:p>
    <w:p w14:paraId="0FFBCF35" w14:textId="77777777" w:rsidR="00895110" w:rsidRPr="00895110" w:rsidRDefault="00895110" w:rsidP="00895110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sz w:val="24"/>
          <w:szCs w:val="24"/>
          <w:u w:val="single"/>
        </w:rPr>
      </w:pPr>
      <w:r w:rsidRPr="00895110">
        <w:rPr>
          <w:sz w:val="24"/>
          <w:szCs w:val="24"/>
        </w:rPr>
        <w:t>nastąpiło przejście zakładu pracy lub jego części na innego pracodawcę;</w:t>
      </w:r>
    </w:p>
    <w:p w14:paraId="111C1E17" w14:textId="77777777" w:rsidR="00895110" w:rsidRPr="00895110" w:rsidRDefault="00895110" w:rsidP="00895110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sz w:val="24"/>
          <w:szCs w:val="24"/>
          <w:u w:val="single"/>
        </w:rPr>
      </w:pPr>
      <w:r w:rsidRPr="00895110">
        <w:rPr>
          <w:sz w:val="24"/>
          <w:szCs w:val="24"/>
        </w:rPr>
        <w:lastRenderedPageBreak/>
        <w:t>zwiększono wymiar czasu pracy lub liczbę godzin pracy w tygodniu lub miesiącu określone w oświadczeniu o powierzeniu pracy cudzoziemcowi nie więcej niż do pełnego wymiaru czasu pracy;</w:t>
      </w:r>
    </w:p>
    <w:p w14:paraId="7F13B5BD" w14:textId="5BC0DE47" w:rsidR="00895110" w:rsidRPr="00895110" w:rsidRDefault="00895110" w:rsidP="00895110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sz w:val="24"/>
          <w:szCs w:val="24"/>
          <w:u w:val="single"/>
        </w:rPr>
      </w:pPr>
      <w:r w:rsidRPr="00895110">
        <w:rPr>
          <w:sz w:val="24"/>
          <w:szCs w:val="24"/>
        </w:rPr>
        <w:t>nastąpiła zmiana nazwy stanowiska pracy bez zmiany zakresu obowiązków cudzoziemca.</w:t>
      </w:r>
    </w:p>
    <w:p w14:paraId="2C260D55" w14:textId="77777777" w:rsidR="00895110" w:rsidRPr="00895110" w:rsidRDefault="00895110" w:rsidP="00895110">
      <w:pPr>
        <w:spacing w:after="0" w:line="276" w:lineRule="auto"/>
        <w:rPr>
          <w:sz w:val="24"/>
          <w:szCs w:val="24"/>
          <w:u w:val="single"/>
        </w:rPr>
      </w:pPr>
    </w:p>
    <w:p w14:paraId="337C2A7F" w14:textId="77777777" w:rsidR="000E5433" w:rsidRPr="000E5433" w:rsidRDefault="000E5433" w:rsidP="000E5433"/>
    <w:p w14:paraId="082685EA" w14:textId="77777777" w:rsidR="000E5433" w:rsidRDefault="000E5433" w:rsidP="000E5433">
      <w:pPr>
        <w:pStyle w:val="Akapitzlist"/>
        <w:ind w:left="426"/>
      </w:pPr>
    </w:p>
    <w:p w14:paraId="037F6835" w14:textId="77777777" w:rsidR="000E5433" w:rsidRPr="005D0504" w:rsidRDefault="000E5433" w:rsidP="000E5433">
      <w:pPr>
        <w:pStyle w:val="Akapitzlist"/>
        <w:ind w:left="426"/>
      </w:pPr>
    </w:p>
    <w:p w14:paraId="0F97D155" w14:textId="77777777" w:rsidR="005D0504" w:rsidRDefault="005D0504"/>
    <w:p w14:paraId="780A04D4" w14:textId="356A933E" w:rsidR="00C53D1D" w:rsidRPr="00C53D1D" w:rsidRDefault="00C53D1D" w:rsidP="00C53D1D">
      <w:pPr>
        <w:rPr>
          <w:rFonts w:cstheme="minorHAnsi"/>
          <w:sz w:val="24"/>
          <w:szCs w:val="24"/>
        </w:rPr>
      </w:pPr>
      <w:r w:rsidRPr="00C53D1D">
        <w:rPr>
          <w:rFonts w:cstheme="minorHAnsi"/>
          <w:sz w:val="24"/>
          <w:szCs w:val="24"/>
        </w:rPr>
        <w:t xml:space="preserve">Aby złożyć oświadczenie za pomocą systemu teleinformatycznego, o którym mowa w </w:t>
      </w:r>
      <w:hyperlink r:id="rId6" w:anchor="/document/22143772?unitId=art(26)ust(1)pkt(7)lit(b)" w:history="1">
        <w:r w:rsidRPr="00C53D1D">
          <w:rPr>
            <w:rStyle w:val="Hipercze"/>
            <w:rFonts w:cstheme="minorHAnsi"/>
            <w:sz w:val="24"/>
            <w:szCs w:val="24"/>
          </w:rPr>
          <w:t>art. 26 ust. 1 pkt 7 lit. b</w:t>
        </w:r>
      </w:hyperlink>
      <w:r w:rsidRPr="00C53D1D">
        <w:rPr>
          <w:rFonts w:cstheme="minorHAnsi"/>
          <w:sz w:val="24"/>
          <w:szCs w:val="24"/>
        </w:rPr>
        <w:t xml:space="preserve"> ustawy z dnia 20 marca 2025 r. o rynku pracy i służbach zatrudnienia</w:t>
      </w:r>
      <w:r w:rsidRPr="00C53D1D">
        <w:rPr>
          <w:rFonts w:cstheme="minorHAnsi"/>
          <w:sz w:val="24"/>
          <w:szCs w:val="24"/>
        </w:rPr>
        <w:t xml:space="preserve"> - </w:t>
      </w:r>
      <w:r w:rsidRPr="00C53D1D">
        <w:rPr>
          <w:rFonts w:cstheme="minorHAnsi"/>
          <w:sz w:val="24"/>
          <w:szCs w:val="24"/>
        </w:rPr>
        <w:t>praca.gov.pl należy to zrobić jako organizacja czyli firma. W Związku z czym na samej górze z pola osoby fizycznej należy przejść na organizację i z profilu danej organizacji należy składać oświadczenia o zamiarze powierzenia pracy cudzoziemcom. Poniżej link do instrukcji.</w:t>
      </w:r>
    </w:p>
    <w:p w14:paraId="7B502B0C" w14:textId="1ABBBDCF" w:rsidR="005D0504" w:rsidRDefault="00C53D1D" w:rsidP="00C53D1D">
      <w:r w:rsidRPr="00C53D1D">
        <w:drawing>
          <wp:anchor distT="0" distB="0" distL="114300" distR="114300" simplePos="0" relativeHeight="251657216" behindDoc="0" locked="0" layoutInCell="1" allowOverlap="1" wp14:anchorId="71C2145C" wp14:editId="2F6D7D66">
            <wp:simplePos x="0" y="0"/>
            <wp:positionH relativeFrom="column">
              <wp:posOffset>-671195</wp:posOffset>
            </wp:positionH>
            <wp:positionV relativeFrom="paragraph">
              <wp:posOffset>345440</wp:posOffset>
            </wp:positionV>
            <wp:extent cx="7012599" cy="3429000"/>
            <wp:effectExtent l="0" t="0" r="0" b="0"/>
            <wp:wrapNone/>
            <wp:docPr id="396416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160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59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C53D1D">
          <w:rPr>
            <w:rStyle w:val="Hipercze"/>
          </w:rPr>
          <w:t>www.praca.gov.pl/eurzad/html/pomoc/index.html?zmiana_kontekstu.htm</w:t>
        </w:r>
      </w:hyperlink>
    </w:p>
    <w:p w14:paraId="392B33C8" w14:textId="69BD3589" w:rsidR="00C53D1D" w:rsidRDefault="00C53D1D" w:rsidP="00C53D1D"/>
    <w:sectPr w:rsidR="00C53D1D" w:rsidSect="0089511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2C1F"/>
    <w:multiLevelType w:val="hybridMultilevel"/>
    <w:tmpl w:val="A33E1068"/>
    <w:lvl w:ilvl="0" w:tplc="2118E7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2E8"/>
    <w:multiLevelType w:val="hybridMultilevel"/>
    <w:tmpl w:val="6690F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1E38"/>
    <w:multiLevelType w:val="hybridMultilevel"/>
    <w:tmpl w:val="01160B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2C4"/>
    <w:multiLevelType w:val="hybridMultilevel"/>
    <w:tmpl w:val="101ECE0A"/>
    <w:lvl w:ilvl="0" w:tplc="F5707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872BA2"/>
    <w:multiLevelType w:val="hybridMultilevel"/>
    <w:tmpl w:val="4D645B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D47A7D"/>
    <w:multiLevelType w:val="hybridMultilevel"/>
    <w:tmpl w:val="D526BB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16F4"/>
    <w:multiLevelType w:val="multilevel"/>
    <w:tmpl w:val="E51846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163C4"/>
    <w:multiLevelType w:val="hybridMultilevel"/>
    <w:tmpl w:val="42C04120"/>
    <w:lvl w:ilvl="0" w:tplc="0415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E523643"/>
    <w:multiLevelType w:val="hybridMultilevel"/>
    <w:tmpl w:val="101ECE0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554F5F"/>
    <w:multiLevelType w:val="hybridMultilevel"/>
    <w:tmpl w:val="5ED44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5F98"/>
    <w:multiLevelType w:val="hybridMultilevel"/>
    <w:tmpl w:val="1D8CD9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9426807">
    <w:abstractNumId w:val="2"/>
  </w:num>
  <w:num w:numId="2" w16cid:durableId="574782652">
    <w:abstractNumId w:val="3"/>
  </w:num>
  <w:num w:numId="3" w16cid:durableId="83305017">
    <w:abstractNumId w:val="0"/>
  </w:num>
  <w:num w:numId="4" w16cid:durableId="1949661266">
    <w:abstractNumId w:val="8"/>
  </w:num>
  <w:num w:numId="5" w16cid:durableId="284697719">
    <w:abstractNumId w:val="1"/>
  </w:num>
  <w:num w:numId="6" w16cid:durableId="1724865953">
    <w:abstractNumId w:val="5"/>
  </w:num>
  <w:num w:numId="7" w16cid:durableId="840239855">
    <w:abstractNumId w:val="4"/>
  </w:num>
  <w:num w:numId="8" w16cid:durableId="1657218635">
    <w:abstractNumId w:val="7"/>
  </w:num>
  <w:num w:numId="9" w16cid:durableId="257376729">
    <w:abstractNumId w:val="6"/>
  </w:num>
  <w:num w:numId="10" w16cid:durableId="116606052">
    <w:abstractNumId w:val="10"/>
  </w:num>
  <w:num w:numId="11" w16cid:durableId="1835339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77"/>
    <w:rsid w:val="00073751"/>
    <w:rsid w:val="000E5433"/>
    <w:rsid w:val="001659CA"/>
    <w:rsid w:val="001A0877"/>
    <w:rsid w:val="004E1115"/>
    <w:rsid w:val="005D0504"/>
    <w:rsid w:val="00764880"/>
    <w:rsid w:val="00813E14"/>
    <w:rsid w:val="00895110"/>
    <w:rsid w:val="00973D92"/>
    <w:rsid w:val="009A5296"/>
    <w:rsid w:val="00C53D1D"/>
    <w:rsid w:val="00E0090A"/>
    <w:rsid w:val="00EF357A"/>
    <w:rsid w:val="00F167B4"/>
    <w:rsid w:val="00F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1842"/>
  <w15:chartTrackingRefBased/>
  <w15:docId w15:val="{9E511C7F-D063-4120-BA53-2A5F4806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0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0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A08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8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8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8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8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8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8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8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8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8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87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05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504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E5433"/>
  </w:style>
  <w:style w:type="paragraph" w:customStyle="1" w:styleId="Default">
    <w:name w:val="Default"/>
    <w:rsid w:val="00E0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/eurzad/html/pomoc/index.html?zmiana_kontekstu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Sikora</dc:creator>
  <cp:keywords/>
  <dc:description/>
  <cp:lastModifiedBy>Marlena Sikora</cp:lastModifiedBy>
  <cp:revision>6</cp:revision>
  <dcterms:created xsi:type="dcterms:W3CDTF">2025-05-30T12:51:00Z</dcterms:created>
  <dcterms:modified xsi:type="dcterms:W3CDTF">2025-06-10T13:08:00Z</dcterms:modified>
</cp:coreProperties>
</file>